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F636EA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9DA59A5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stacjonarne</w:t>
            </w:r>
          </w:p>
          <w:p w14:paraId="12C802C2" w14:textId="7890402E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00160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 </w:t>
            </w:r>
            <w:r w:rsidR="0000160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F636EA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1E891E99" w:rsidR="00B72623" w:rsidRPr="002C4515" w:rsidRDefault="0000160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Stylizacja potraw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72E69586" w:rsidR="00B72623" w:rsidRPr="002C4515" w:rsidRDefault="008D2717" w:rsidP="00001604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Stylizacja potraw</w:t>
            </w:r>
          </w:p>
        </w:tc>
      </w:tr>
      <w:tr w:rsidR="00B72623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37E267E5" w:rsidR="00B72623" w:rsidRPr="002C4515" w:rsidRDefault="008D271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B72623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F636EA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22D82E99" w:rsidR="00B72623" w:rsidRPr="008D2717" w:rsidRDefault="008D2717" w:rsidP="0000160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8D2717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8D2717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B72623" w:rsidRPr="00F636EA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37EB1F8A" w:rsidR="00B72623" w:rsidRPr="008D2717" w:rsidRDefault="008D2717" w:rsidP="0000160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8D2717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Elżbieta Dudzińska-</w:t>
            </w:r>
            <w:proofErr w:type="spellStart"/>
            <w:r w:rsidRPr="008D2717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ieblesz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6F415288" w:rsidR="007B2BCC" w:rsidRPr="002C4515" w:rsidRDefault="008D2717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Zajęcia praktyczne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28AF5D30" w:rsidR="007B2BCC" w:rsidRPr="002C4515" w:rsidRDefault="008D271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F636EA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011174F9" w:rsidR="007B2BCC" w:rsidRPr="002C4515" w:rsidRDefault="008D2717" w:rsidP="008D2717">
            <w:pPr>
              <w:autoSpaceDE w:val="0"/>
              <w:autoSpaceDN w:val="0"/>
              <w:adjustRightInd w:val="0"/>
              <w:spacing w:afterLines="40" w:after="96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Nabycie wiedzy w zakresie doboru surowców i produktów spożywczych przeznaczonych do wykańczania i ozdabiania potraw oraz umiejętności ich wykonania i estetycznego podania</w:t>
            </w:r>
          </w:p>
        </w:tc>
      </w:tr>
      <w:tr w:rsidR="007B2BCC" w:rsidRPr="00F636EA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5E51CC8" w:rsidR="007B2BCC" w:rsidRPr="002C4515" w:rsidRDefault="008D2717" w:rsidP="008D2717">
            <w:pPr>
              <w:autoSpaceDE w:val="0"/>
              <w:autoSpaceDN w:val="0"/>
              <w:adjustRightInd w:val="0"/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Przygotowanie do </w:t>
            </w:r>
            <w:commentRangeStart w:id="0"/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pracy</w:t>
            </w:r>
            <w:commentRangeEnd w:id="0"/>
            <w:r w:rsidR="00001604">
              <w:rPr>
                <w:rStyle w:val="Odwoaniedokomentarza"/>
              </w:rPr>
              <w:commentReference w:id="0"/>
            </w:r>
            <w:r w:rsidRPr="004106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w sanatoriach i domach wczasowych, żłobkach, przedszkolach, stołówkach szkolnych i pracowniczych, zakładach żywienia zbiorowego</w:t>
            </w:r>
            <w:r w:rsidRPr="004106E1"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8D2717" w:rsidRPr="00F636EA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8D2717" w:rsidRPr="002C4515" w:rsidRDefault="008D2717" w:rsidP="008D271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2ECF24CE" w:rsidR="008D2717" w:rsidRPr="008D2717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Wiedza: s</w:t>
            </w:r>
            <w:r w:rsidR="008D2717"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tudent zna zasady organizacji różnych stanowisk pracy w aspekcie żywienia zbiorowego</w:t>
            </w:r>
            <w:r w:rsidR="000016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(</w:t>
            </w:r>
            <w:r w:rsidR="008D2717"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EUK6_W3</w:t>
            </w:r>
            <w:r w:rsidR="0000160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).</w:t>
            </w:r>
          </w:p>
        </w:tc>
      </w:tr>
      <w:tr w:rsidR="008D2717" w:rsidRPr="008D2717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8D2717" w:rsidRPr="002C4515" w:rsidRDefault="008D2717" w:rsidP="008D271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46F0A70B" w:rsidR="008D2717" w:rsidRPr="008D2717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Umiejętności: student w</w:t>
            </w:r>
            <w:r w:rsidR="008D2717" w:rsidRPr="008D2717"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ykazuje znajomość różnych surowców (ich właściwości) oraz technik kulinarnych i potrafi zastosować je w praktyce w celu przygotowania dekoracji potraw. Zna i umie zastosować w praktyce zasady savoir-vivre przy stole oraz stylizowania potraw</w:t>
            </w:r>
            <w:r w:rsidR="008D2717" w:rsidRPr="008D2717"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="00001604">
              <w:rPr>
                <w:rStyle w:val="eop"/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8D2717"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EUK6_U12</w:t>
            </w:r>
            <w:r w:rsidR="0000160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).</w:t>
            </w:r>
          </w:p>
        </w:tc>
      </w:tr>
      <w:tr w:rsidR="008D2717" w:rsidRPr="00BC70CF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8D2717" w:rsidRPr="002C4515" w:rsidRDefault="008D2717" w:rsidP="008D271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562955F5" w:rsidR="008D2717" w:rsidRPr="008D2717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Kompetencje społeczne: student j</w:t>
            </w:r>
            <w:r w:rsidR="008D2717" w:rsidRPr="008D271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est gotów do systematycznego uzupełniania wiedzy, bierze udział w kursach doskonalących</w:t>
            </w:r>
            <w:r w:rsidR="008D2717" w:rsidRPr="008D2717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="0000160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(</w:t>
            </w:r>
            <w:r w:rsidR="008D2717" w:rsidRPr="00BC70C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EUK6_KS1</w:t>
            </w:r>
            <w:r w:rsidR="00001604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).</w:t>
            </w:r>
          </w:p>
        </w:tc>
      </w:tr>
      <w:tr w:rsidR="007B2BC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31EEB45C" w:rsidR="007B2BCC" w:rsidRPr="002C4515" w:rsidRDefault="008D2717" w:rsidP="0000160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106E1">
              <w:rPr>
                <w:rFonts w:ascii="Arial" w:hAnsi="Arial" w:cs="Arial"/>
                <w:sz w:val="22"/>
                <w:szCs w:val="22"/>
                <w:lang w:val="pl-PL"/>
              </w:rPr>
              <w:t>Student zna podstawy technologii gastronomicznej z towaroznawstwem. Zna zasady BHP i HACCP</w:t>
            </w:r>
            <w:r w:rsidR="0000160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7B2BCC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commentRangeStart w:id="1"/>
            <w:r w:rsidRPr="002C4515">
              <w:rPr>
                <w:rFonts w:ascii="Arial" w:hAnsi="Arial" w:cs="Arial"/>
                <w:color w:val="463F7C"/>
              </w:rPr>
              <w:lastRenderedPageBreak/>
              <w:t>ĆWICZENIE</w:t>
            </w:r>
            <w:commentRangeEnd w:id="1"/>
            <w:r w:rsidR="00001604">
              <w:rPr>
                <w:rStyle w:val="Odwoaniedokomentarza"/>
                <w:rFonts w:ascii="Times New Roman" w:eastAsia="Times New Roman" w:hAnsi="Times New Roman" w:cs="Times New Roman"/>
                <w:b w:val="0"/>
                <w:bCs w:val="0"/>
                <w:color w:val="auto"/>
                <w:lang w:val="en-US" w:eastAsia="en-US"/>
              </w:rPr>
              <w:commentReference w:id="1"/>
            </w:r>
            <w:r w:rsidRPr="002C4515">
              <w:rPr>
                <w:rFonts w:ascii="Arial" w:hAnsi="Arial" w:cs="Arial"/>
                <w:color w:val="463F7C"/>
              </w:rPr>
              <w:t xml:space="preserve"> </w:t>
            </w:r>
            <w:r w:rsidR="00BA5611" w:rsidRPr="002C4515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777D13F0" w:rsidR="007B2BCC" w:rsidRPr="002C4515" w:rsidRDefault="008D2717" w:rsidP="0000160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Asortyment narzędzi i akcesoriów do dekorowania potraw i ich zastosowanie. Produkty wykorzystywane do </w:t>
            </w:r>
            <w:commentRangeStart w:id="2"/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ozdabiania</w:t>
            </w:r>
            <w:commentRangeEnd w:id="2"/>
            <w:r w:rsidR="00001604">
              <w:rPr>
                <w:rStyle w:val="Odwoaniedokomentarza"/>
              </w:rPr>
              <w:commentReference w:id="2"/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i sposoby ich przygotowania.</w:t>
            </w:r>
          </w:p>
        </w:tc>
      </w:tr>
      <w:tr w:rsidR="007B2BCC" w:rsidRPr="00F636EA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 xml:space="preserve">ĆWICZENIE </w:t>
            </w:r>
            <w:r w:rsidR="00BA5611" w:rsidRPr="002C4515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67CC5F91" w:rsidR="007B2BCC" w:rsidRPr="002C4515" w:rsidRDefault="008D2717" w:rsidP="00001604">
            <w:pPr>
              <w:tabs>
                <w:tab w:val="left" w:pos="540"/>
              </w:tabs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Metody dekorowania potraw: garnirowanie i glazurowanie. Wykonanie sosów do ozdabiania potraw.</w:t>
            </w:r>
          </w:p>
        </w:tc>
      </w:tr>
      <w:tr w:rsidR="00BA5611" w:rsidRPr="00F636EA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6CB3C0A1" w:rsidR="00BA5611" w:rsidRPr="002C4515" w:rsidRDefault="008D271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Metody dekorowania potraw: </w:t>
            </w:r>
            <w:proofErr w:type="spellStart"/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>carving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Wykonanie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dekoracji z warzyw i owoców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do ozdabiania potraw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w różnych dietach.</w:t>
            </w:r>
          </w:p>
        </w:tc>
      </w:tr>
      <w:tr w:rsidR="00BA5611" w:rsidRPr="00F636EA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BA5611" w:rsidRPr="002C4515" w:rsidRDefault="00BA5611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3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16A8" w14:textId="36896AF6" w:rsidR="00BA5611" w:rsidRPr="002C4515" w:rsidRDefault="008D271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86166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Wykorzystanie różnych technik dekorowania potraw w diecie podstawowej i łatwostrawnej oraz dla </w:t>
            </w:r>
            <w:commentRangeStart w:id="4"/>
            <w:r w:rsidRPr="00D86166">
              <w:rPr>
                <w:rFonts w:ascii="Arial" w:hAnsi="Arial" w:cs="Arial"/>
                <w:bCs/>
                <w:sz w:val="22"/>
                <w:szCs w:val="22"/>
                <w:lang w:val="pl-PL"/>
              </w:rPr>
              <w:t>dzieci</w:t>
            </w:r>
            <w:commentRangeEnd w:id="4"/>
            <w:r w:rsidR="00001604">
              <w:rPr>
                <w:rStyle w:val="Odwoaniedokomentarza"/>
              </w:rPr>
              <w:commentReference w:id="4"/>
            </w:r>
            <w:r w:rsidRPr="00D86166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  <w:r w:rsidRPr="00D8616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C70CF" w:rsidRPr="00D86166">
              <w:rPr>
                <w:rFonts w:ascii="Arial" w:hAnsi="Arial" w:cs="Arial"/>
                <w:sz w:val="22"/>
                <w:szCs w:val="22"/>
                <w:lang w:val="pl-PL"/>
              </w:rPr>
              <w:t>Zastosowanie kwiatów do dekoracji potraw</w:t>
            </w:r>
            <w:r w:rsidR="00BC70CF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bookmarkEnd w:id="3"/>
      <w:tr w:rsidR="007B2BCC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7B2BCC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3BE196ED" w:rsidR="007B2BCC" w:rsidRPr="002C4515" w:rsidRDefault="007B2BCC" w:rsidP="00001604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C4515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7B2BCC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5" w:name="_Hlk150289558"/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03E97B46" w:rsidR="007B2BCC" w:rsidRPr="002C4515" w:rsidRDefault="008D2717" w:rsidP="00001604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7B2BCC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49D4362A" w:rsidR="007B2BCC" w:rsidRPr="002C4515" w:rsidRDefault="008D2717" w:rsidP="00001604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Zajęcia praktyczne</w:t>
            </w:r>
          </w:p>
        </w:tc>
      </w:tr>
      <w:tr w:rsidR="009F1640" w:rsidRPr="002C4515" w14:paraId="0C73516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F9C5" w14:textId="492C7ED1" w:rsidR="009F1640" w:rsidRPr="002C4515" w:rsidRDefault="009F1640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9ABDE" w14:textId="56A8BD03" w:rsidR="009F1640" w:rsidRDefault="009F1640" w:rsidP="00001604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Metoda projektu</w:t>
            </w:r>
          </w:p>
        </w:tc>
      </w:tr>
      <w:bookmarkEnd w:id="5"/>
      <w:tr w:rsidR="007B2BCC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366D0856" w:rsidR="007B2BCC" w:rsidRPr="002C4515" w:rsidRDefault="007B2BCC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7B2BCC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65FF5092" w:rsidR="007B2BCC" w:rsidRPr="00001604" w:rsidRDefault="009F1640" w:rsidP="0000160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BA5611" w:rsidRPr="00001604">
              <w:rPr>
                <w:rFonts w:ascii="Arial" w:hAnsi="Arial" w:cs="Arial"/>
                <w:sz w:val="22"/>
                <w:szCs w:val="22"/>
                <w:lang w:val="pl-PL"/>
              </w:rPr>
              <w:t>0 godz</w:t>
            </w:r>
            <w:r w:rsidR="00983897" w:rsidRPr="0000160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8D2717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22F15" w14:textId="0B3A9AF4" w:rsidR="00AC3F32" w:rsidRPr="00001604" w:rsidRDefault="00AC3F32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80 godz.</w:t>
            </w:r>
            <w:r w:rsidR="00001604" w:rsidRPr="00001604">
              <w:rPr>
                <w:rFonts w:ascii="Arial" w:hAnsi="Arial" w:cs="Arial"/>
                <w:sz w:val="22"/>
                <w:szCs w:val="22"/>
                <w:lang w:val="pl-PL"/>
              </w:rPr>
              <w:t>, w tym:</w:t>
            </w:r>
          </w:p>
          <w:p w14:paraId="5763BC6C" w14:textId="77777777" w:rsidR="00983897" w:rsidRPr="00001604" w:rsidRDefault="0098389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Zapoznanie się z literaturą – 10 godz.</w:t>
            </w:r>
          </w:p>
          <w:p w14:paraId="28405633" w14:textId="77777777" w:rsidR="00983897" w:rsidRPr="00001604" w:rsidRDefault="0098389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Praca własna studenta- przygotowanie się do zajęć, przygotowanie materiałów do wykonania ćwiczeń – 30 godz.</w:t>
            </w:r>
          </w:p>
          <w:p w14:paraId="58735F28" w14:textId="39B2897A" w:rsidR="007B2BCC" w:rsidRPr="00001604" w:rsidRDefault="00983897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pracy </w:t>
            </w:r>
            <w:commentRangeStart w:id="6"/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projektowej</w:t>
            </w:r>
            <w:commentRangeEnd w:id="6"/>
            <w:r w:rsidR="00001604">
              <w:rPr>
                <w:rStyle w:val="Odwoaniedokomentarza"/>
              </w:rPr>
              <w:commentReference w:id="6"/>
            </w:r>
            <w:r w:rsidR="00001604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001604">
              <w:rPr>
                <w:rFonts w:ascii="Arial" w:hAnsi="Arial" w:cs="Arial"/>
                <w:sz w:val="22"/>
                <w:szCs w:val="22"/>
                <w:lang w:val="pl-PL"/>
              </w:rPr>
              <w:t>– 40 godz.</w:t>
            </w:r>
          </w:p>
        </w:tc>
      </w:tr>
      <w:tr w:rsidR="007B2BCC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266A3AD7" w:rsidR="007B2BCC" w:rsidRPr="002C4515" w:rsidRDefault="006F3F2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983897">
              <w:rPr>
                <w:rFonts w:ascii="Arial" w:hAnsi="Arial" w:cs="Arial"/>
                <w:sz w:val="22"/>
                <w:szCs w:val="22"/>
                <w:lang w:val="pl-PL"/>
              </w:rPr>
              <w:t>00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7B2BCC" w:rsidRPr="00F636EA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7B2BCC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7B2BCC" w:rsidRPr="002C4515" w:rsidRDefault="007B2BCC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7B2BCC" w:rsidRPr="002C4515" w:rsidRDefault="007B2BCC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B2BCC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7B2BCC" w:rsidRPr="00F636EA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7B2BCC" w:rsidRPr="002C4515" w:rsidRDefault="007B2BCC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3C83B7" w:rsidR="007B2BCC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– 20 pytań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C70CF" w:rsidRPr="002C4515" w:rsidRDefault="00BC70CF" w:rsidP="00BC70CF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4295BF46" w:rsidR="00BC70CF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Obserwacja i ocena wy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konywanych zadań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podczas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zajęć praktycznych, ocena pracy projektowej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C70CF" w:rsidRPr="002C4515" w:rsidRDefault="00BC70CF" w:rsidP="00BC70CF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05D7B853" w:rsidR="00BC70CF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Obserwacja studenta podczas pracy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indywidualnej i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 grupie, aktywność studenta na zajęciach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78614750" w:rsidR="00BC70CF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Praca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owa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35EB" w14:textId="77777777" w:rsidR="00236024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I termin –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</w:t>
            </w:r>
          </w:p>
          <w:p w14:paraId="5665C2A1" w14:textId="557E7760" w:rsidR="00BC70CF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– 20 pytań</w:t>
            </w:r>
          </w:p>
          <w:p w14:paraId="6FB67337" w14:textId="77777777" w:rsidR="00236024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– </w:t>
            </w: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 </w:t>
            </w:r>
          </w:p>
          <w:p w14:paraId="53F4CD3E" w14:textId="456F00E9" w:rsidR="00BC70CF" w:rsidRPr="002C4515" w:rsidRDefault="00BC70CF" w:rsidP="0000160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– 20 pytań</w:t>
            </w:r>
          </w:p>
        </w:tc>
      </w:tr>
      <w:tr w:rsidR="007B2BCC" w:rsidRPr="00F636EA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C70CF" w:rsidRPr="00BC70CF" w14:paraId="17A93AEE" w14:textId="77777777" w:rsidTr="006B07AC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4E82D544" w:rsidR="00BC70CF" w:rsidRPr="002C4515" w:rsidRDefault="00BC70CF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dostatecznym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40BB5497" w14:textId="77777777" w:rsidTr="006B07AC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0C3C7DC1" w:rsidR="00BC70CF" w:rsidRPr="002C4515" w:rsidRDefault="00BC70CF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13-14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w teście wielokrotnego wyboru pojedynczej odpowiedzi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ponad dostatecznym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3642D4D9" w14:textId="77777777" w:rsidTr="006B07AC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07B105BF" w:rsidR="00BC70CF" w:rsidRPr="002C4515" w:rsidRDefault="00BC70CF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dobrym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01D080D6" w14:textId="77777777" w:rsidTr="006B07AC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D361F71" w:rsidR="00BC70CF" w:rsidRPr="002C4515" w:rsidRDefault="00BC70CF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17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 w:rsidRPr="007F3E03">
              <w:rPr>
                <w:lang w:val="pl-PL"/>
              </w:rPr>
              <w:t>z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aangażowanie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ponad dobrym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C70CF" w:rsidRPr="00F636EA" w14:paraId="79550A66" w14:textId="77777777" w:rsidTr="006B07AC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C70CF" w:rsidRPr="002C4515" w:rsidRDefault="00BC70CF" w:rsidP="00BC70C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10610E97" w:rsidR="00BC70CF" w:rsidRPr="002C4515" w:rsidRDefault="00BC70CF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-2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  <w:r w:rsidRPr="003F52E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punktów w teście wielokrotnego wyboru pojedynczej odpowiedzi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zaangażowanie 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ocena pracy projektowej na poziomie bardzo dobrym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7B2BCC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ED05" w14:textId="2F66ABB6" w:rsidR="00752F64" w:rsidRPr="002C4515" w:rsidRDefault="00BC70CF" w:rsidP="00236024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 w:rsidRPr="00460F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[1]   Ciborowska H.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460FE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Ciborowski A. Dietetyka. Żywienie zdrowego i chorego człowieka. 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Warszawa 2022 </w:t>
            </w:r>
            <w:commentRangeStart w:id="7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PZWL</w:t>
            </w:r>
            <w:commentRangeEnd w:id="7"/>
            <w:r w:rsidR="00236024">
              <w:rPr>
                <w:rStyle w:val="Odwoaniedokomentarza"/>
              </w:rPr>
              <w:commentReference w:id="7"/>
            </w:r>
            <w:r w:rsidR="0023602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B2BCC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7B2BCC" w:rsidRPr="00AF7E0B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BF1B" w14:textId="0C2DF17B" w:rsidR="00AF7E0B" w:rsidRPr="00424F03" w:rsidRDefault="00AF7E0B" w:rsidP="00236024">
            <w:pPr>
              <w:shd w:val="clear" w:color="auto" w:fill="FFFFFF"/>
              <w:spacing w:line="375" w:lineRule="atLeast"/>
              <w:jc w:val="center"/>
              <w:outlineLvl w:val="2"/>
              <w:rPr>
                <w:rFonts w:ascii="Arial" w:hAnsi="Arial" w:cs="Arial"/>
                <w:color w:val="757575"/>
                <w:sz w:val="22"/>
                <w:szCs w:val="22"/>
                <w:lang w:val="pl-PL" w:eastAsia="pl-PL"/>
              </w:rPr>
            </w:pPr>
            <w:r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  <w:lang w:val="pl-PL"/>
              </w:rPr>
              <w:t>[</w:t>
            </w:r>
            <w:r w:rsidRPr="00424F03">
              <w:rPr>
                <w:rFonts w:ascii="Arial" w:eastAsiaTheme="majorEastAsia" w:hAnsi="Arial" w:cs="Arial"/>
                <w:color w:val="243F60" w:themeColor="accent1" w:themeShade="7F"/>
                <w:sz w:val="22"/>
                <w:szCs w:val="22"/>
                <w:lang w:val="pl-PL"/>
              </w:rPr>
              <w:t xml:space="preserve">1] 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 xml:space="preserve"> </w:t>
            </w:r>
            <w:r w:rsidRPr="00424F03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J. Góźdź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 xml:space="preserve">: Dekorowanie potraw. </w:t>
            </w:r>
            <w:r w:rsidRPr="00424F03">
              <w:rPr>
                <w:rFonts w:ascii="Arial" w:hAnsi="Arial" w:cs="Arial"/>
                <w:color w:val="757575"/>
                <w:sz w:val="22"/>
                <w:szCs w:val="22"/>
                <w:lang w:val="pl-PL" w:eastAsia="pl-PL"/>
              </w:rPr>
              <w:t> </w:t>
            </w:r>
            <w:r w:rsidRPr="00424F03">
              <w:rPr>
                <w:rFonts w:ascii="Arial" w:hAnsi="Arial" w:cs="Arial"/>
                <w:color w:val="252525"/>
                <w:sz w:val="22"/>
                <w:szCs w:val="22"/>
                <w:lang w:val="pl-PL" w:eastAsia="pl-PL"/>
              </w:rPr>
              <w:t>Warszawa 2012.</w:t>
            </w:r>
            <w:r w:rsidRPr="00424F03">
              <w:rPr>
                <w:rFonts w:ascii="Arial" w:eastAsiaTheme="majorEastAsia" w:hAnsi="Arial" w:cs="Arial"/>
                <w:color w:val="757575"/>
                <w:sz w:val="22"/>
                <w:szCs w:val="22"/>
                <w:lang w:val="pl-PL" w:eastAsia="pl-PL"/>
              </w:rPr>
              <w:t> </w:t>
            </w:r>
            <w:r w:rsidRPr="00424F03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Świat Książki</w:t>
            </w:r>
            <w:r w:rsidR="00236024">
              <w:rPr>
                <w:rFonts w:ascii="Arial" w:eastAsiaTheme="majorEastAsia" w:hAnsi="Arial" w:cs="Arial"/>
                <w:color w:val="252525"/>
                <w:sz w:val="22"/>
                <w:szCs w:val="22"/>
                <w:lang w:val="pl-PL" w:eastAsia="pl-PL"/>
              </w:rPr>
              <w:t>.</w:t>
            </w:r>
          </w:p>
          <w:p w14:paraId="6E2DF445" w14:textId="77777777" w:rsidR="00236024" w:rsidRDefault="00AF7E0B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[2]  M. Rybacki, D. Ślusarczyk: Akademia </w:t>
            </w:r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catvingu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, fantazje z warzyw i owoców. </w:t>
            </w:r>
          </w:p>
          <w:p w14:paraId="468C3577" w14:textId="6421BE55" w:rsidR="00AF7E0B" w:rsidRPr="00424F03" w:rsidRDefault="00AF7E0B" w:rsidP="0023602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Konstancin Jeziorna 2007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2A2E2610" w14:textId="34622677" w:rsidR="00752F64" w:rsidRPr="002C4515" w:rsidRDefault="00AF7E0B" w:rsidP="00236024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[3] R.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bookmarkStart w:id="8" w:name="_GoBack"/>
            <w:bookmarkEnd w:id="8"/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Biller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: Ozdabianie potraw. Warszawa, Delta W-Z </w:t>
            </w:r>
            <w:proofErr w:type="spellStart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>Falken</w:t>
            </w:r>
            <w:proofErr w:type="spellEnd"/>
            <w:r w:rsidRPr="00424F03">
              <w:rPr>
                <w:rFonts w:ascii="Arial" w:hAnsi="Arial" w:cs="Arial"/>
                <w:sz w:val="22"/>
                <w:szCs w:val="22"/>
                <w:lang w:val="pl-PL"/>
              </w:rPr>
              <w:t xml:space="preserve"> GmbH</w:t>
            </w:r>
            <w:r w:rsidR="00236024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ll" w:date="2025-01-12T19:36:00Z" w:initials="d">
    <w:p w14:paraId="4CA1BAD2" w14:textId="258DB59E" w:rsidR="00001604" w:rsidRDefault="00001604">
      <w:pPr>
        <w:pStyle w:val="Tekstkomentarza"/>
      </w:pPr>
      <w:r>
        <w:rPr>
          <w:rStyle w:val="Odwoaniedokomentarza"/>
        </w:rPr>
        <w:annotationRef/>
      </w:r>
      <w:r>
        <w:t xml:space="preserve">W </w:t>
      </w:r>
      <w:proofErr w:type="spellStart"/>
      <w:r>
        <w:t>zakładach</w:t>
      </w:r>
      <w:proofErr w:type="spellEnd"/>
      <w:r>
        <w:t xml:space="preserve"> </w:t>
      </w:r>
      <w:proofErr w:type="spellStart"/>
      <w:r>
        <w:t>żyw</w:t>
      </w:r>
      <w:proofErr w:type="spellEnd"/>
      <w:r>
        <w:t xml:space="preserve">. </w:t>
      </w:r>
      <w:proofErr w:type="spellStart"/>
      <w:r>
        <w:t>Zb</w:t>
      </w:r>
      <w:proofErr w:type="spellEnd"/>
      <w:r>
        <w:t xml:space="preserve">. </w:t>
      </w:r>
      <w:proofErr w:type="spellStart"/>
      <w:r>
        <w:t>Typu</w:t>
      </w:r>
      <w:proofErr w:type="spellEnd"/>
      <w:r>
        <w:t>?</w:t>
      </w:r>
    </w:p>
  </w:comment>
  <w:comment w:id="1" w:author="dell" w:date="2025-01-12T19:39:00Z" w:initials="d">
    <w:p w14:paraId="2D8A0BD5" w14:textId="18E0BF04" w:rsidR="00001604" w:rsidRDefault="00001604">
      <w:pPr>
        <w:pStyle w:val="Tekstkomentarza"/>
      </w:pPr>
      <w:r>
        <w:rPr>
          <w:rStyle w:val="Odwoaniedokomentarza"/>
        </w:rPr>
        <w:annotationRef/>
      </w:r>
      <w:proofErr w:type="spellStart"/>
      <w:r>
        <w:t>Zajęcia</w:t>
      </w:r>
      <w:proofErr w:type="spellEnd"/>
      <w:r>
        <w:t xml:space="preserve"> </w:t>
      </w:r>
      <w:proofErr w:type="spellStart"/>
      <w:r>
        <w:t>praktyczne</w:t>
      </w:r>
      <w:proofErr w:type="spellEnd"/>
    </w:p>
  </w:comment>
  <w:comment w:id="2" w:author="dell" w:date="2025-01-12T19:39:00Z" w:initials="d">
    <w:p w14:paraId="010CBEB2" w14:textId="47D86241" w:rsidR="00001604" w:rsidRDefault="00001604">
      <w:pPr>
        <w:pStyle w:val="Tekstkomentarza"/>
      </w:pPr>
      <w:r>
        <w:rPr>
          <w:rStyle w:val="Odwoaniedokomentarza"/>
        </w:rPr>
        <w:annotationRef/>
      </w:r>
      <w:proofErr w:type="spellStart"/>
      <w:r>
        <w:t>Czego</w:t>
      </w:r>
      <w:proofErr w:type="spellEnd"/>
      <w:r>
        <w:t>?</w:t>
      </w:r>
    </w:p>
  </w:comment>
  <w:comment w:id="4" w:author="dell" w:date="2025-01-12T19:41:00Z" w:initials="d">
    <w:p w14:paraId="3C4BA271" w14:textId="5A5BB3A1" w:rsidR="00001604" w:rsidRDefault="00001604">
      <w:pPr>
        <w:pStyle w:val="Tekstkomentarza"/>
      </w:pPr>
      <w:r>
        <w:rPr>
          <w:rStyle w:val="Odwoaniedokomentarza"/>
        </w:rPr>
        <w:annotationRef/>
      </w:r>
      <w:proofErr w:type="spellStart"/>
      <w:r>
        <w:t>Brak</w:t>
      </w:r>
      <w:proofErr w:type="spellEnd"/>
      <w:r>
        <w:t xml:space="preserve"> w </w:t>
      </w:r>
      <w:proofErr w:type="spellStart"/>
      <w:r>
        <w:t>ss</w:t>
      </w:r>
      <w:proofErr w:type="spellEnd"/>
      <w:r>
        <w:t xml:space="preserve">: </w:t>
      </w:r>
      <w:r w:rsidRPr="00D86166">
        <w:rPr>
          <w:rFonts w:ascii="Arial" w:hAnsi="Arial" w:cs="Arial"/>
          <w:sz w:val="22"/>
          <w:szCs w:val="22"/>
          <w:lang w:val="pl-PL"/>
        </w:rPr>
        <w:t>Stylizacja stołu, poznanie zasad nakrywania i podawania do stołu</w:t>
      </w:r>
    </w:p>
  </w:comment>
  <w:comment w:id="6" w:author="dell" w:date="2025-01-12T19:44:00Z" w:initials="d">
    <w:p w14:paraId="1150D7BA" w14:textId="3F8401D6" w:rsidR="00001604" w:rsidRDefault="00001604">
      <w:pPr>
        <w:pStyle w:val="Tekstkomentarza"/>
      </w:pPr>
      <w:r>
        <w:rPr>
          <w:rStyle w:val="Odwoaniedokomentarza"/>
        </w:rPr>
        <w:annotationRef/>
      </w:r>
      <w:proofErr w:type="spellStart"/>
      <w:r>
        <w:t>Przygotowanie</w:t>
      </w:r>
      <w:proofErr w:type="spellEnd"/>
      <w:r>
        <w:t xml:space="preserve"> do </w:t>
      </w:r>
      <w:proofErr w:type="spellStart"/>
      <w:r>
        <w:t>zaliczenia</w:t>
      </w:r>
      <w:proofErr w:type="spellEnd"/>
      <w:r>
        <w:t>/</w:t>
      </w:r>
      <w:proofErr w:type="spellStart"/>
      <w:r>
        <w:t>testu</w:t>
      </w:r>
      <w:proofErr w:type="spellEnd"/>
      <w:r>
        <w:t>?</w:t>
      </w:r>
    </w:p>
  </w:comment>
  <w:comment w:id="7" w:author="dell" w:date="2025-01-12T19:46:00Z" w:initials="d">
    <w:p w14:paraId="10D63272" w14:textId="310126EA" w:rsidR="00236024" w:rsidRDefault="00236024">
      <w:pPr>
        <w:pStyle w:val="Tekstkomentarza"/>
      </w:pPr>
      <w:r>
        <w:rPr>
          <w:rStyle w:val="Odwoaniedokomentarza"/>
        </w:rPr>
        <w:annotationRef/>
      </w:r>
      <w:proofErr w:type="spellStart"/>
      <w:r>
        <w:t>Czy</w:t>
      </w:r>
      <w:proofErr w:type="spellEnd"/>
      <w:r>
        <w:t xml:space="preserve"> to </w:t>
      </w:r>
      <w:proofErr w:type="spellStart"/>
      <w:r>
        <w:t>będzie</w:t>
      </w:r>
      <w:proofErr w:type="spellEnd"/>
      <w:r>
        <w:t xml:space="preserve"> do </w:t>
      </w:r>
      <w:proofErr w:type="spellStart"/>
      <w:r>
        <w:t>stylizacji</w:t>
      </w:r>
      <w:proofErr w:type="spellEnd"/>
      <w:r>
        <w:t xml:space="preserve"> </w:t>
      </w:r>
      <w:proofErr w:type="spellStart"/>
      <w:r>
        <w:t>obowiazkowa</w:t>
      </w:r>
      <w:proofErr w:type="spellEnd"/>
      <w:r>
        <w:t xml:space="preserve"> a </w:t>
      </w:r>
      <w:proofErr w:type="spellStart"/>
      <w:r>
        <w:t>dekoracje</w:t>
      </w:r>
      <w:proofErr w:type="spellEnd"/>
      <w:r>
        <w:t xml:space="preserve"> </w:t>
      </w:r>
      <w:proofErr w:type="spellStart"/>
      <w:r>
        <w:t>nie</w:t>
      </w:r>
      <w:proofErr w:type="spellEnd"/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B10D1" w14:textId="77777777" w:rsidR="00191BF1" w:rsidRDefault="00191BF1" w:rsidP="003D4ABA">
      <w:r>
        <w:separator/>
      </w:r>
    </w:p>
  </w:endnote>
  <w:endnote w:type="continuationSeparator" w:id="0">
    <w:p w14:paraId="5AACBE31" w14:textId="77777777" w:rsidR="00191BF1" w:rsidRDefault="00191BF1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2EF9" w14:textId="77777777" w:rsidR="00191BF1" w:rsidRDefault="00191BF1" w:rsidP="003D4ABA">
      <w:r>
        <w:separator/>
      </w:r>
    </w:p>
  </w:footnote>
  <w:footnote w:type="continuationSeparator" w:id="0">
    <w:p w14:paraId="13D7253C" w14:textId="77777777" w:rsidR="00191BF1" w:rsidRDefault="00191BF1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01604"/>
    <w:rsid w:val="0000739B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B2049"/>
    <w:rsid w:val="000D1CE6"/>
    <w:rsid w:val="000E1BE6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84B1B"/>
    <w:rsid w:val="00191BF1"/>
    <w:rsid w:val="001941C2"/>
    <w:rsid w:val="001A42DE"/>
    <w:rsid w:val="001A57AD"/>
    <w:rsid w:val="001A597F"/>
    <w:rsid w:val="001A6515"/>
    <w:rsid w:val="001B2A15"/>
    <w:rsid w:val="001B5037"/>
    <w:rsid w:val="001E5434"/>
    <w:rsid w:val="001E56EE"/>
    <w:rsid w:val="001F7E03"/>
    <w:rsid w:val="0020216E"/>
    <w:rsid w:val="00207DF8"/>
    <w:rsid w:val="002122DB"/>
    <w:rsid w:val="00217C99"/>
    <w:rsid w:val="002339A3"/>
    <w:rsid w:val="00236024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18F4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395D"/>
    <w:rsid w:val="0078712C"/>
    <w:rsid w:val="00793A88"/>
    <w:rsid w:val="007A1136"/>
    <w:rsid w:val="007B2BCC"/>
    <w:rsid w:val="007C6569"/>
    <w:rsid w:val="007E2CC2"/>
    <w:rsid w:val="007E3854"/>
    <w:rsid w:val="007E6CA3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B39E9"/>
    <w:rsid w:val="008B647E"/>
    <w:rsid w:val="008C076A"/>
    <w:rsid w:val="008C66DD"/>
    <w:rsid w:val="008D2717"/>
    <w:rsid w:val="008E046A"/>
    <w:rsid w:val="008F7953"/>
    <w:rsid w:val="00907BA8"/>
    <w:rsid w:val="00916817"/>
    <w:rsid w:val="00924648"/>
    <w:rsid w:val="00925C2B"/>
    <w:rsid w:val="00935250"/>
    <w:rsid w:val="00983897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579"/>
    <w:rsid w:val="009E3963"/>
    <w:rsid w:val="009E4A11"/>
    <w:rsid w:val="009E6A9B"/>
    <w:rsid w:val="009F1640"/>
    <w:rsid w:val="009F209A"/>
    <w:rsid w:val="00A020E9"/>
    <w:rsid w:val="00A07BAA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3F32"/>
    <w:rsid w:val="00AC6743"/>
    <w:rsid w:val="00AC70DB"/>
    <w:rsid w:val="00AC7C4A"/>
    <w:rsid w:val="00AD2094"/>
    <w:rsid w:val="00AD2101"/>
    <w:rsid w:val="00AD3F9F"/>
    <w:rsid w:val="00AD7F0E"/>
    <w:rsid w:val="00AF18B4"/>
    <w:rsid w:val="00AF4B2F"/>
    <w:rsid w:val="00AF7E0B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C70CF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36EA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8D2717"/>
  </w:style>
  <w:style w:type="character" w:customStyle="1" w:styleId="eop">
    <w:name w:val="eop"/>
    <w:basedOn w:val="Domylnaczcionkaakapitu"/>
    <w:rsid w:val="008D2717"/>
  </w:style>
  <w:style w:type="character" w:styleId="Odwoaniedokomentarza">
    <w:name w:val="annotation reference"/>
    <w:basedOn w:val="Domylnaczcionkaakapitu"/>
    <w:semiHidden/>
    <w:unhideWhenUsed/>
    <w:locked/>
    <w:rsid w:val="00001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01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160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01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160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8D2717"/>
  </w:style>
  <w:style w:type="character" w:customStyle="1" w:styleId="eop">
    <w:name w:val="eop"/>
    <w:basedOn w:val="Domylnaczcionkaakapitu"/>
    <w:rsid w:val="008D2717"/>
  </w:style>
  <w:style w:type="character" w:styleId="Odwoaniedokomentarza">
    <w:name w:val="annotation reference"/>
    <w:basedOn w:val="Domylnaczcionkaakapitu"/>
    <w:semiHidden/>
    <w:unhideWhenUsed/>
    <w:locked/>
    <w:rsid w:val="00001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001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1604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001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160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60E3C-91E2-459E-85B4-B96574EF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4EB22A25-20AE-461D-8E06-47865CCC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2025-01-12T18:47:00Z</dcterms:created>
  <dcterms:modified xsi:type="dcterms:W3CDTF">2025-01-12T18:47:00Z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