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1F" w:rsidRPr="00C67EAF" w:rsidRDefault="0098741F">
      <w:pPr>
        <w:pStyle w:val="Tre"/>
        <w:jc w:val="center"/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C67EAF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C67EAF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 w:rsidRPr="00C67EAF">
              <w:rPr>
                <w:rFonts w:ascii="Arial" w:eastAsia="Arial Unicode MS" w:hAnsi="Arial" w:cs="Arial"/>
                <w:noProof/>
              </w:rPr>
              <w:drawing>
                <wp:inline distT="0" distB="0" distL="0" distR="0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623" w:rsidRPr="00C67EAF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:rsidR="008B34B4" w:rsidRPr="00C67EAF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Collegium </w:t>
            </w:r>
            <w:proofErr w:type="spellStart"/>
            <w:r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Medicum</w:t>
            </w:r>
            <w:proofErr w:type="spellEnd"/>
          </w:p>
          <w:p w:rsidR="008B34B4" w:rsidRPr="00C67EAF" w:rsidRDefault="00FC449C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Wydział Nauk o Zdrowiu</w:t>
            </w:r>
          </w:p>
          <w:p w:rsidR="008B34B4" w:rsidRPr="00C67EAF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</w:p>
          <w:p w:rsidR="00B72623" w:rsidRPr="00C67EAF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KARTA PRZEDMIOTU</w:t>
            </w:r>
          </w:p>
          <w:p w:rsidR="00B72623" w:rsidRPr="00C67EAF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Nazwa kierunku</w:t>
            </w:r>
            <w:r w:rsidR="00B72623"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: </w:t>
            </w:r>
            <w:r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Kierunek </w:t>
            </w:r>
            <w:r w:rsidR="003769E8"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Pielęgniarstwo</w:t>
            </w:r>
          </w:p>
          <w:p w:rsidR="008B34B4" w:rsidRPr="00C67EAF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Poziom: Studia </w:t>
            </w:r>
            <w:r w:rsidR="007616E7"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pierwszego </w:t>
            </w:r>
            <w:r w:rsidR="003769E8"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 stopnia </w:t>
            </w:r>
          </w:p>
          <w:p w:rsidR="00B72623" w:rsidRPr="00C67EAF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Forma: S</w:t>
            </w:r>
            <w:r w:rsidR="008B34B4"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tudia </w:t>
            </w:r>
            <w:r w:rsidR="007616E7" w:rsidRPr="00C67EAF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stacjonarne</w:t>
            </w:r>
          </w:p>
          <w:p w:rsidR="00B72623" w:rsidRPr="00C67EAF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Rok akademicki:</w:t>
            </w:r>
            <w:r w:rsidR="003769E8" w:rsidRPr="00C67EAF">
              <w:rPr>
                <w:rFonts w:ascii="Arial" w:hAnsi="Arial" w:cs="Arial"/>
                <w:color w:val="00608B"/>
              </w:rPr>
              <w:t xml:space="preserve"> </w:t>
            </w:r>
            <w:r w:rsidRPr="00C67EAF">
              <w:rPr>
                <w:rFonts w:ascii="Arial" w:hAnsi="Arial" w:cs="Arial"/>
                <w:color w:val="00608B"/>
              </w:rPr>
              <w:t>202</w:t>
            </w:r>
            <w:r w:rsidR="00347BBC" w:rsidRPr="00C67EAF">
              <w:rPr>
                <w:rFonts w:ascii="Arial" w:hAnsi="Arial" w:cs="Arial"/>
                <w:color w:val="00608B"/>
              </w:rPr>
              <w:t>5</w:t>
            </w:r>
            <w:r w:rsidR="003769E8" w:rsidRPr="00C67EAF">
              <w:rPr>
                <w:rFonts w:ascii="Arial" w:hAnsi="Arial" w:cs="Arial"/>
                <w:color w:val="00608B"/>
              </w:rPr>
              <w:t>/2026</w:t>
            </w:r>
          </w:p>
          <w:p w:rsidR="008B34B4" w:rsidRPr="00C67EAF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Język studiów: polski</w:t>
            </w:r>
          </w:p>
          <w:p w:rsidR="00B72623" w:rsidRPr="00C67EAF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310"/>
        <w:gridCol w:w="30"/>
        <w:gridCol w:w="15"/>
        <w:gridCol w:w="1376"/>
      </w:tblGrid>
      <w:tr w:rsidR="00B72623" w:rsidRPr="00C67EAF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C67EAF" w:rsidRDefault="0087288C" w:rsidP="00F44810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 w:rsidRPr="00C67EAF">
              <w:rPr>
                <w:rFonts w:ascii="Arial" w:eastAsia="Arial Unicode MS" w:hAnsi="Arial" w:cs="Arial"/>
              </w:rPr>
              <w:t>OPIEKA PALIATYWNA CZ.I</w:t>
            </w:r>
          </w:p>
        </w:tc>
      </w:tr>
      <w:tr w:rsidR="00B72623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C67EAF" w:rsidRDefault="00B72623" w:rsidP="00F44810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C67EAF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C67EAF" w:rsidRDefault="0087288C" w:rsidP="00DD5883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OPIEKA PALIATYWNA</w:t>
            </w:r>
            <w:r w:rsidR="001C7ABF" w:rsidRPr="00C67EA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CZ.I</w:t>
            </w:r>
          </w:p>
        </w:tc>
      </w:tr>
      <w:tr w:rsidR="00B72623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C67EAF" w:rsidRDefault="00B72623" w:rsidP="00F44810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C67EAF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C67EAF" w:rsidRDefault="000037CE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BD67AB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7616E7" w:rsidRPr="00C67EAF">
              <w:rPr>
                <w:rFonts w:ascii="Arial" w:hAnsi="Arial" w:cs="Arial"/>
                <w:sz w:val="20"/>
                <w:szCs w:val="20"/>
                <w:lang w:val="pl-PL"/>
              </w:rPr>
              <w:t>(W tym Z</w:t>
            </w:r>
            <w:r w:rsidR="00F16C85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ajęcia praktyczne </w:t>
            </w:r>
            <w:r w:rsidR="007616E7" w:rsidRPr="00C67EAF">
              <w:rPr>
                <w:rFonts w:ascii="Arial" w:hAnsi="Arial" w:cs="Arial"/>
                <w:sz w:val="20"/>
                <w:szCs w:val="20"/>
                <w:lang w:val="pl-PL"/>
              </w:rPr>
              <w:t>=</w:t>
            </w:r>
            <w:r w:rsidR="00EE6F5E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7616E7" w:rsidRPr="00C67EAF">
              <w:rPr>
                <w:rFonts w:ascii="Arial" w:hAnsi="Arial" w:cs="Arial"/>
                <w:sz w:val="20"/>
                <w:szCs w:val="20"/>
                <w:lang w:val="pl-PL"/>
              </w:rPr>
              <w:t>2 ECTS)</w:t>
            </w:r>
            <w:r w:rsidR="00BD67AB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B72623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C67EAF" w:rsidRDefault="00B72623" w:rsidP="00F44810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C67EAF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C67EAF" w:rsidRDefault="003769E8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C67EAF" w:rsidRDefault="00B72623" w:rsidP="00F44810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C67EAF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623" w:rsidRPr="00C67EAF" w:rsidRDefault="00BD67AB" w:rsidP="00DD5883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C67EAF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OBCIĄŻENIEM NA DANY ROK AKADEMICKI</w:t>
            </w:r>
          </w:p>
        </w:tc>
      </w:tr>
      <w:tr w:rsidR="00B72623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C67EAF" w:rsidRDefault="00B72623" w:rsidP="00F44810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C67EAF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623" w:rsidRPr="00C67EAF" w:rsidRDefault="0086424B" w:rsidP="00DD5883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C67EAF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mgr Anna Białoń-Janusz</w:t>
            </w:r>
          </w:p>
        </w:tc>
      </w:tr>
      <w:tr w:rsidR="00B72623" w:rsidRPr="00C67EAF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C67EAF" w:rsidRDefault="00B72623" w:rsidP="00F4481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LICZBA GODZIN</w:t>
            </w:r>
          </w:p>
        </w:tc>
      </w:tr>
      <w:tr w:rsidR="007B2BCC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WYKŁADY</w:t>
            </w:r>
            <w:r w:rsidR="00A82BE0" w:rsidRPr="00C67EAF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CA248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 godz. (w tym 15</w:t>
            </w:r>
            <w:r w:rsidRPr="00A73E39">
              <w:rPr>
                <w:rFonts w:ascii="Arial" w:hAnsi="Arial" w:cs="Arial"/>
                <w:sz w:val="20"/>
                <w:szCs w:val="20"/>
                <w:lang w:val="pl-PL"/>
              </w:rPr>
              <w:t xml:space="preserve"> godz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 on-line 1</w:t>
            </w:r>
            <w:r w:rsidRPr="00A73E39">
              <w:rPr>
                <w:rFonts w:ascii="Arial" w:hAnsi="Arial" w:cs="Arial"/>
                <w:sz w:val="20"/>
                <w:szCs w:val="20"/>
                <w:lang w:val="pl-PL"/>
              </w:rPr>
              <w:t xml:space="preserve"> ECTS – wykorzystanie metod i technik kształcenia na odległość- synchronicznych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  <w:r w:rsidRPr="00A73E39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7B2BCC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BD67A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BD67AB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E8" w:rsidRPr="00C67EAF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E8" w:rsidRPr="00C67EAF" w:rsidRDefault="00E629B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E8" w:rsidRPr="00C67EAF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E8" w:rsidRPr="00C67EAF" w:rsidRDefault="00BD67AB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</w:tr>
      <w:tr w:rsidR="007B2BCC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BD67AB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</w:tr>
      <w:tr w:rsidR="00F16C85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C85" w:rsidRPr="00C67EAF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4E9A"/>
              </w:rPr>
              <w:t>PRACA WŁASNA STUDENTA</w:t>
            </w:r>
            <w:r w:rsidR="003C61A2" w:rsidRPr="00C67EAF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C85" w:rsidRPr="00C67EAF" w:rsidRDefault="00BD67AB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7B2BCC" w:rsidRPr="00C67EAF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CELE PRZEDMIOTU</w:t>
            </w:r>
          </w:p>
        </w:tc>
      </w:tr>
      <w:tr w:rsidR="007B2BCC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86424B" w:rsidP="00DD5883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Nabycie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studenta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wiedzy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teoretycznej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temat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filozofii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organizacji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podstawowych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metod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leczenia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objawowego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opiece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paliatywnej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opanowanie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podstawowych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umiejętności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pielęgniarskich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zakresie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oceny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pacjenta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leczenia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bólu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opieki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nad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umierającym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komunikacji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2BCC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lastRenderedPageBreak/>
              <w:t>CEL 2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86424B" w:rsidP="00DD5883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Przygotowanie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studenta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praktycznego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stosowania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procesu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pielęgnowania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formułowania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diagnoz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pielęgniarskich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>,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kształtowanie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postaw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aktywnego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wspłczucia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poszanowania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godności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autonomi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pacjenta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autofeflekscji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budowania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własnej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3813" w:rsidRPr="00C67EAF">
              <w:rPr>
                <w:rFonts w:ascii="Arial" w:hAnsi="Arial" w:cs="Arial"/>
                <w:sz w:val="20"/>
                <w:szCs w:val="20"/>
              </w:rPr>
              <w:t>rezylincji</w:t>
            </w:r>
            <w:proofErr w:type="spellEnd"/>
            <w:r w:rsidR="00C33813" w:rsidRPr="00C67EA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kontakcie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pacjentem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kresu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życia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jego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rodziną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2BCC" w:rsidRPr="00C67EAF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7B2BCC" w:rsidP="00B0124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EFEKTY UCZENIA SIĘ</w:t>
            </w:r>
          </w:p>
        </w:tc>
      </w:tr>
      <w:tr w:rsidR="007B2BCC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C67EAF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SYMBOL EFEKTU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2BCC" w:rsidRPr="00C67EAF" w:rsidRDefault="00F16C85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TREŚC EFEKTU MATRYCA</w:t>
            </w:r>
          </w:p>
        </w:tc>
      </w:tr>
      <w:tr w:rsidR="005C14B7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4B7" w:rsidRPr="00C67EAF" w:rsidRDefault="005C14B7" w:rsidP="005C14B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B.W.3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4B7" w:rsidRPr="00C67EAF" w:rsidRDefault="005C14B7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Zna i rozumie  zasady diagnozowania, planowania, realizowania i oceniania opieki nad pacjentem</w:t>
            </w:r>
            <w:r w:rsidR="00C33813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 w</w:t>
            </w: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 opiece paliatywnej</w:t>
            </w:r>
            <w:r w:rsidR="00C33813" w:rsidRPr="00C67EA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5C14B7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4B7" w:rsidRPr="00C67EAF" w:rsidRDefault="005C14B7" w:rsidP="005C14B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D.W.2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4B7" w:rsidRPr="00C67EAF" w:rsidRDefault="005C14B7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Zna i rozumie etiopatogenezę, objawy kliniczne, przebieg, leczenie, rokowanie i zasady opieki pielęgniarskiej nad pacjentami w wybranych chorobach, w tym w chorobach nowotworowych;</w:t>
            </w:r>
          </w:p>
        </w:tc>
      </w:tr>
      <w:tr w:rsidR="005C14B7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4B7" w:rsidRPr="00C67EAF" w:rsidRDefault="005C14B7" w:rsidP="005C14B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D.W.3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4B7" w:rsidRPr="00C67EAF" w:rsidRDefault="005C14B7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Zna i rozumie rodzaje badań diagnostycznych, ich znaczenie kliniczne i zasady ich zlecania oraz uprawnienia zawodowe pielęgniarki w zakresie wystawiania skierowań na badania diagnostyczne w poszczególnych stanach klinicznych;</w:t>
            </w:r>
          </w:p>
        </w:tc>
      </w:tr>
      <w:tr w:rsidR="005C14B7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4B7" w:rsidRPr="00C67EAF" w:rsidRDefault="005C14B7" w:rsidP="005C14B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D.W.4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4B7" w:rsidRPr="00C67EAF" w:rsidRDefault="005C14B7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Zna i rozumie zasady przygotowania pacjenta w różnym wieku i stanie zdrowia do badań oraz zabiegów diagnostycznych, a także zasady opieki w ich trakcie oraz po tych badaniach i zabiegach</w:t>
            </w:r>
          </w:p>
        </w:tc>
      </w:tr>
      <w:tr w:rsidR="005C14B7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4B7" w:rsidRPr="00C67EAF" w:rsidRDefault="005C14B7" w:rsidP="005C14B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D.W.5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4B7" w:rsidRPr="00C67EAF" w:rsidRDefault="005C14B7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Zna i rozumie zasady i zakres farmakoterapii w poszczególnych stanach klinicznych;</w:t>
            </w:r>
          </w:p>
        </w:tc>
      </w:tr>
      <w:tr w:rsidR="005C14B7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4B7" w:rsidRPr="00C67EAF" w:rsidRDefault="005C14B7" w:rsidP="005C14B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D.W.6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4B7" w:rsidRPr="00C67EAF" w:rsidRDefault="005C14B7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Zna i rozumie 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</w:tr>
      <w:tr w:rsidR="005C14B7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4B7" w:rsidRPr="00C67EAF" w:rsidRDefault="005C14B7" w:rsidP="005C14B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D.W.7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4B7" w:rsidRPr="00C67EAF" w:rsidRDefault="005C14B7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Zna i rozumie zasady organi</w:t>
            </w:r>
            <w:r w:rsidR="00613F48" w:rsidRPr="00C67EAF">
              <w:rPr>
                <w:rFonts w:ascii="Arial" w:hAnsi="Arial" w:cs="Arial"/>
                <w:sz w:val="20"/>
                <w:szCs w:val="20"/>
                <w:lang w:val="pl-PL"/>
              </w:rPr>
              <w:t>zacji opieki specjalistycznej (</w:t>
            </w: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opieki paliaty</w:t>
            </w:r>
            <w:r w:rsidR="00613F48" w:rsidRPr="00C67EAF">
              <w:rPr>
                <w:rFonts w:ascii="Arial" w:hAnsi="Arial" w:cs="Arial"/>
                <w:sz w:val="20"/>
                <w:szCs w:val="20"/>
                <w:lang w:val="pl-PL"/>
              </w:rPr>
              <w:t>wnej)</w:t>
            </w: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</w:tc>
      </w:tr>
      <w:tr w:rsidR="005C14B7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4B7" w:rsidRPr="00C67EAF" w:rsidRDefault="005C14B7" w:rsidP="005C14B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D.W.8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4B7" w:rsidRPr="00C67EAF" w:rsidRDefault="005C14B7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Zna i rozumie standardy i procedury pielęgniarskie stosowane w opiece nad pacjentem w różnym wieku i stanie zdrowia;</w:t>
            </w:r>
          </w:p>
        </w:tc>
      </w:tr>
      <w:tr w:rsidR="005C14B7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4B7" w:rsidRPr="00C67EAF" w:rsidRDefault="005C14B7" w:rsidP="005C14B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D.W.9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4B7" w:rsidRPr="00C67EAF" w:rsidRDefault="005C14B7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Zna i rozumie reakcje pacjenta w różnym wieku na chorobę, przyjęcie do szpitala i hospitalizację;</w:t>
            </w:r>
          </w:p>
        </w:tc>
      </w:tr>
      <w:tr w:rsidR="005C14B7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4B7" w:rsidRPr="00C67EAF" w:rsidRDefault="005C14B7" w:rsidP="005C14B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D.W.12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4B7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Zna i rozumie rodzaje i zasady stosowania środków specjalnego przeznaczenia żywieniowego w określonych stanach klinicznych;</w:t>
            </w:r>
          </w:p>
        </w:tc>
      </w:tr>
      <w:tr w:rsidR="005C14B7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4B7" w:rsidRPr="00C67EAF" w:rsidRDefault="005C14B7" w:rsidP="005C14B7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D.W.42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4B7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Zna i rozumie proces umierania, objawy zbliżającej się śmierci i zasady opieki w ostatnich godzinach życia pacjentów z chorobami niepoddającymi się leczeniu;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lastRenderedPageBreak/>
              <w:t>C.U.15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Potrafi 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D.U.1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Potrafi gromadzić informacje, formułować diagnozę pielęgniarską, ustalać cele i plan opieki pielęgniarskiej, wdrażać interwencje pielęgniarskie oraz dokonywać ewaluacji opieki pielęgniarskiej;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D.U.2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Potrafi stosować skale i kwestionariusze do oceny stanu pacjenta lub jego wydolności funkcjonalnej w określonych sytuacjach zdrowotnych;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D.U.3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Potrafi 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D.U.4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Potrafi przeprowadzić kompleksowe badanie podmiotowe i badanie fizykalne w różnych stanach klinicznych do planowania i realizacji opieki pielęgniarskiej;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D.U.5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Potrafi oceniać poziom bólu, reakcję pacjenta na ból i jego nasilenie oraz stosować farmakologiczne i niefarmakologiczne metody postępowania przeciwbólowego;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D.U.7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Potrafi 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D.U.8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Potrafi wystawiać recepty na leki w ramach realizacji zleceń lekarskich w określonych stanach klinicznych;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D.U.9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Potrafi rozpoznawać powikłania farmakoterapii, leczenia dietetycznego oraz wynikające z działań terapeutycznych i pielęgnacji;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D.U.10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dobierać i stosować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dietoterapię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 oraz prowadzić u dzieci i dorosłych żywienie dojelitowe (przez zgłębnik do żołądka i przetokę odżywczą) oraz żywienie pozajelitowe;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D.U.15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Potrafi prowadzić rozmowę terapeutyczną;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D.U.17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komunikować się z członkami zespołu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interprofesjonalnego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 w zakresie pozyskiwania i przekazywania informacji o stanie zdrowia pacjenta;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D.U.41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Potrafi rozpoznać agonię i pielęgnować pacjenta umierającego;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D.U.42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Potrafi postępować zgodnie z procedurą z ciałem zmarłego pacjenta;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lastRenderedPageBreak/>
              <w:t>K.S1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Jest gotów </w:t>
            </w:r>
            <w:r w:rsidR="00F83021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K.S2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Jest </w:t>
            </w:r>
            <w:r w:rsidR="00F83021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gotów do </w:t>
            </w: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przestrzegania praw pacjenta i zasad humanizmu;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K.S3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Jest gotów </w:t>
            </w:r>
            <w:r w:rsidR="00F83021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samodzielnego i rzetelnego wykonywania zawodu zgodnie z zasadami etyki, w tym przestrzegania wartości i powinności moralnych w opiece nad pacjentem;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Jest </w:t>
            </w:r>
            <w:r w:rsidR="00F83021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gotów do </w:t>
            </w: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ponoszenia odpowiedzialności za wykonywane czynności zawodowe;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K.S5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Jest gotów </w:t>
            </w:r>
            <w:r w:rsidR="00F83021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zasięgania opinii ekspertów w przypadku trudności z samodzielnym rozwiązaniem problemu;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K.S6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Jest gotów </w:t>
            </w:r>
            <w:r w:rsidR="00F83021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przewidywania i uwzględniania czynników wpływających na reakcje własne i pacjenta;</w:t>
            </w:r>
          </w:p>
        </w:tc>
      </w:tr>
      <w:tr w:rsidR="005C0B2F" w:rsidRPr="00C67EAF" w:rsidTr="00352866">
        <w:trPr>
          <w:cantSplit/>
          <w:trHeight w:val="18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B012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WYMAGANIA WSTĘPNE</w:t>
            </w:r>
          </w:p>
        </w:tc>
      </w:tr>
      <w:tr w:rsidR="005C0B2F" w:rsidRPr="00C67EAF" w:rsidTr="00352866">
        <w:trPr>
          <w:cantSplit/>
          <w:trHeight w:val="45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0B2F" w:rsidRPr="00C67EAF" w:rsidRDefault="00F83021" w:rsidP="005C0B2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posiada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podstawową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wiedzę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zakresu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anatomii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fizjologii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farmakologii</w:t>
            </w:r>
            <w:proofErr w:type="spellEnd"/>
            <w:r w:rsidR="000037CE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37CE" w:rsidRPr="00C67EAF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="000037CE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37CE" w:rsidRPr="00C67EAF">
              <w:rPr>
                <w:rFonts w:ascii="Arial" w:hAnsi="Arial" w:cs="Arial"/>
                <w:sz w:val="20"/>
                <w:szCs w:val="20"/>
              </w:rPr>
              <w:t>psychologii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Potrafi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przeprowadzić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podstawowe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badanie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fizykalne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zebrać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wywiad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pielęgniarski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Rozumie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zasady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etyki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zawodowej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B6C7F" w:rsidRPr="00C67EAF" w:rsidTr="00AB6C7F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FORMA ZAJĘĆ</w:t>
            </w:r>
          </w:p>
        </w:tc>
        <w:tc>
          <w:tcPr>
            <w:tcW w:w="5340" w:type="dxa"/>
            <w:gridSpan w:val="2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TREŚCI/</w:t>
            </w:r>
            <w:r w:rsidRPr="00C67EAF">
              <w:rPr>
                <w:rFonts w:ascii="Arial" w:hAnsi="Arial" w:cs="Arial"/>
                <w:b/>
                <w:color w:val="FFFFFF" w:themeColor="background1"/>
              </w:rPr>
              <w:t>SZCZEGÓŁOWY OPIS BLOKÓW TEMATYCZNYCH</w:t>
            </w:r>
          </w:p>
        </w:tc>
        <w:tc>
          <w:tcPr>
            <w:tcW w:w="1391" w:type="dxa"/>
            <w:gridSpan w:val="2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:rsidR="00AB6C7F" w:rsidRPr="00C67EAF" w:rsidRDefault="00A94509" w:rsidP="005C0B2F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EFEKTY UCZENIA SIĘ</w:t>
            </w:r>
          </w:p>
        </w:tc>
      </w:tr>
      <w:tr w:rsidR="00AB6C7F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WYKŁAD 1</w:t>
            </w:r>
            <w:r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340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C7F" w:rsidRPr="00C67EAF" w:rsidRDefault="00AB6C7F" w:rsidP="00DD5883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pl-PL"/>
              </w:rPr>
            </w:pP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Filozofia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etyka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organizacja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opieki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paliatywnej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Definicja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cele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historia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model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opieki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Polsce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zespół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interdyscyplinarny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Studium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budowanie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diagnozy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Lęk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śmiercią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" - 2h</w:t>
            </w:r>
          </w:p>
        </w:tc>
        <w:tc>
          <w:tcPr>
            <w:tcW w:w="1391" w:type="dxa"/>
            <w:gridSpan w:val="2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AB6C7F" w:rsidRPr="00A2205B" w:rsidRDefault="00A2205B" w:rsidP="00DD5883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A2205B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B.W3, D.W7, 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K.S1</w:t>
            </w:r>
          </w:p>
        </w:tc>
      </w:tr>
      <w:tr w:rsidR="00AB6C7F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WYKŁAD 2</w:t>
            </w:r>
            <w:r>
              <w:rPr>
                <w:rFonts w:ascii="Arial" w:hAnsi="Arial" w:cs="Arial"/>
                <w:color w:val="00608B"/>
              </w:rPr>
              <w:t xml:space="preserve"> </w:t>
            </w:r>
            <w:r w:rsidRPr="00AB6C7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C7F" w:rsidRPr="00C67EAF" w:rsidRDefault="00AB6C7F" w:rsidP="00DD58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Kompleksowa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ocena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leczenie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bólu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Patofizjologia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skale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oceny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drabina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analgetyczna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WHO,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farmakoterapia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działania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niepożądane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rotacja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opioidów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bóle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przebijające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Studium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budowanie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diagnozy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Ból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przewlekły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" – 4h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A2205B" w:rsidRDefault="00973D76" w:rsidP="00DD58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D.W3, D.W4, </w:t>
            </w:r>
            <w:r w:rsidR="00A2205B">
              <w:rPr>
                <w:rFonts w:ascii="Arial" w:hAnsi="Arial" w:cs="Arial"/>
                <w:sz w:val="20"/>
                <w:szCs w:val="20"/>
                <w:lang w:val="pl-PL"/>
              </w:rPr>
              <w:t>D.W5, D.W6,</w:t>
            </w:r>
          </w:p>
          <w:p w:rsidR="00AB6C7F" w:rsidRPr="00A2205B" w:rsidRDefault="00A2205B" w:rsidP="00DD58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D.W8, K.S1, K.S3, </w:t>
            </w:r>
          </w:p>
        </w:tc>
      </w:tr>
      <w:tr w:rsidR="00AB6C7F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WYKŁAD 3</w:t>
            </w:r>
            <w:r>
              <w:rPr>
                <w:rFonts w:ascii="Arial" w:hAnsi="Arial" w:cs="Arial"/>
                <w:color w:val="00608B"/>
              </w:rPr>
              <w:t xml:space="preserve"> </w:t>
            </w:r>
            <w:r w:rsidRPr="00AB6C7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C7F" w:rsidRPr="00C67EAF" w:rsidRDefault="00AB6C7F" w:rsidP="00DD58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Postępowanie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objawach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układu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pokarmowego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Nudności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wymioty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zaparcia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pielęgnacja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jamy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ustnej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Studium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budowanie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diagnoz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Nudności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Zaburzone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błony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śluzowe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jamy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ustnej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" – 3h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AB6C7F" w:rsidRPr="00A2205B" w:rsidRDefault="00A2205B" w:rsidP="00DD58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D.W2,</w:t>
            </w:r>
            <w:r w:rsidR="00973D76">
              <w:rPr>
                <w:rFonts w:ascii="Arial" w:hAnsi="Arial" w:cs="Arial"/>
                <w:sz w:val="20"/>
                <w:szCs w:val="20"/>
                <w:lang w:val="pl-PL"/>
              </w:rPr>
              <w:t xml:space="preserve"> D.W3, D.W4,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D.W8, D.W12, D.W42, K.S3, </w:t>
            </w:r>
          </w:p>
        </w:tc>
      </w:tr>
      <w:tr w:rsidR="00AB6C7F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WYKŁAD 4</w:t>
            </w:r>
            <w:r>
              <w:rPr>
                <w:rFonts w:ascii="Arial" w:hAnsi="Arial" w:cs="Arial"/>
                <w:color w:val="00608B"/>
              </w:rPr>
              <w:t xml:space="preserve"> </w:t>
            </w:r>
            <w:r w:rsidRPr="00AB6C7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C7F" w:rsidRPr="00C67EAF" w:rsidRDefault="00AB6C7F" w:rsidP="00DD58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Problemy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oddechowe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skórne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Duszność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kaszel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Profilaktyka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leczenie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odleżyn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owrzodzenia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nowotworowe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Studium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budowanie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diagnozy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Ryzyko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uszkodzenia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integralności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skóry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" - 3h</w:t>
            </w:r>
            <w:r w:rsidRPr="00C67EAF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AB6C7F" w:rsidRPr="00A2205B" w:rsidRDefault="00A2205B" w:rsidP="00DD58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D.W2, D.W8, D.W42,</w:t>
            </w:r>
          </w:p>
        </w:tc>
      </w:tr>
      <w:tr w:rsidR="00AB6C7F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lastRenderedPageBreak/>
              <w:t>WYKŁAD 5</w:t>
            </w:r>
            <w:r>
              <w:rPr>
                <w:rFonts w:ascii="Arial" w:hAnsi="Arial" w:cs="Arial"/>
                <w:color w:val="00608B"/>
              </w:rPr>
              <w:t xml:space="preserve"> </w:t>
            </w:r>
            <w:r w:rsidRPr="00AB6C7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C7F" w:rsidRPr="00C67EAF" w:rsidRDefault="00AB6C7F" w:rsidP="00DD5883">
            <w:pPr>
              <w:spacing w:afterLines="40" w:after="9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Aspekty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psychospołeczne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opieka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końca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życia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67EAF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Reakcje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pacjentów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sytuacje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nieuleczalnej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choroby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przekazywanie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niepomyślnych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informacji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Pacjenci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przezywajacy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silne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emocje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lęk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gniew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wsparcie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pacjenta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ostanich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dniach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życia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wsparcie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rodziny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Studium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budowanie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diagnozy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Dysfunkcyjne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przeżywanie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żałoby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" - 3h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AB6C7F" w:rsidRPr="00A2205B" w:rsidRDefault="00973D76" w:rsidP="00DD5883">
            <w:pPr>
              <w:spacing w:afterLines="40" w:after="9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D.W8, D.W9, D.W42, K.S2, K.S3, </w:t>
            </w:r>
          </w:p>
        </w:tc>
      </w:tr>
      <w:tr w:rsidR="00AB6C7F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53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C7F" w:rsidRPr="00C67EAF" w:rsidRDefault="00AB6C7F" w:rsidP="00DD58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Symulacja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medyczna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wysokiej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wierności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67EA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Wprowadzenie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teoretyczne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analiza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studium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przypadku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(2h)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Bezpieczeństwo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pacjenta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SBAR,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analiza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pacjenta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bólem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lękiem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delirium 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celu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budowania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diagnoz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NANDA.</w:t>
            </w:r>
            <w:r w:rsidRPr="00C67EA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Scenariusze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symulacyjne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(6h):</w:t>
            </w:r>
            <w:r w:rsidRPr="00C67EAF">
              <w:rPr>
                <w:rFonts w:ascii="Arial" w:hAnsi="Arial" w:cs="Arial"/>
                <w:sz w:val="20"/>
                <w:szCs w:val="20"/>
              </w:rPr>
              <w:br/>
              <w:t xml:space="preserve">1.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Postępowanie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duszności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AB6C7F" w:rsidRPr="00A2205B" w:rsidRDefault="00973D76" w:rsidP="00DD58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D.U1, </w:t>
            </w:r>
            <w:r w:rsidR="00EE6F5E" w:rsidRPr="00A2205B">
              <w:rPr>
                <w:rFonts w:ascii="Arial" w:hAnsi="Arial" w:cs="Arial"/>
                <w:sz w:val="20"/>
                <w:szCs w:val="20"/>
              </w:rPr>
              <w:t>D.U.3, D.U.15, K.S6</w:t>
            </w:r>
            <w:r w:rsidR="00EE6F5E" w:rsidRPr="00A2205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E6F5E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F5E" w:rsidRPr="00C67EAF" w:rsidRDefault="00EE6F5E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E6F5E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53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6F5E" w:rsidRPr="00C67EAF" w:rsidRDefault="00EE6F5E" w:rsidP="00DD5883">
            <w:pPr>
              <w:spacing w:afterLines="40" w:after="9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Rozpoznawanie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obj</w:t>
            </w:r>
            <w:r>
              <w:rPr>
                <w:rFonts w:ascii="Arial" w:hAnsi="Arial" w:cs="Arial"/>
                <w:sz w:val="20"/>
                <w:szCs w:val="20"/>
              </w:rPr>
              <w:t>awów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toksyczności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opioidów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AF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EE6F5E" w:rsidRPr="00A2205B" w:rsidRDefault="00973D76" w:rsidP="00DD58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D.U1, </w:t>
            </w:r>
            <w:r w:rsidR="00EE6F5E" w:rsidRPr="00A2205B">
              <w:rPr>
                <w:rFonts w:ascii="Arial" w:hAnsi="Arial" w:cs="Arial"/>
                <w:sz w:val="20"/>
                <w:szCs w:val="20"/>
              </w:rPr>
              <w:t>D.U.3, D.U.5, D.U.9, K.S4</w:t>
            </w:r>
          </w:p>
        </w:tc>
      </w:tr>
      <w:tr w:rsidR="00EE6F5E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F5E" w:rsidRPr="00C67EAF" w:rsidRDefault="00EE6F5E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E6F5E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53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6F5E" w:rsidRPr="00C67EAF" w:rsidRDefault="00EE6F5E" w:rsidP="00DD5883">
            <w:pPr>
              <w:spacing w:afterLines="40" w:after="9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Opieka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nad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pacjentem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z de</w:t>
            </w:r>
            <w:r w:rsidR="004D339D">
              <w:rPr>
                <w:rFonts w:ascii="Arial" w:hAnsi="Arial" w:cs="Arial"/>
                <w:sz w:val="20"/>
                <w:szCs w:val="20"/>
              </w:rPr>
              <w:t xml:space="preserve">lirium </w:t>
            </w:r>
            <w:r w:rsidRPr="00C67EA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Dodatkowe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(skill-drill):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Technika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wkłucia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6F00">
              <w:rPr>
                <w:rFonts w:ascii="Arial" w:hAnsi="Arial" w:cs="Arial"/>
                <w:sz w:val="20"/>
                <w:szCs w:val="20"/>
              </w:rPr>
              <w:t>motylka</w:t>
            </w:r>
            <w:proofErr w:type="spellEnd"/>
            <w:r w:rsidR="00AD6F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s.c.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pielęgnacja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jamy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ustnej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EE6F5E" w:rsidRPr="00A2205B" w:rsidRDefault="00973D76" w:rsidP="00DD58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D.U1, </w:t>
            </w:r>
            <w:r w:rsidR="004D339D" w:rsidRPr="00A2205B">
              <w:rPr>
                <w:rFonts w:ascii="Arial" w:hAnsi="Arial" w:cs="Arial"/>
                <w:sz w:val="20"/>
                <w:szCs w:val="20"/>
              </w:rPr>
              <w:t>D.U.4, D.U.15, K.S1</w:t>
            </w:r>
            <w:r w:rsidR="004D339D" w:rsidRPr="00A2205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B6C7F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ZAJĘCIA PRAKTYCZNE 1</w:t>
            </w:r>
          </w:p>
        </w:tc>
        <w:tc>
          <w:tcPr>
            <w:tcW w:w="53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C7F" w:rsidRPr="00C67EAF" w:rsidRDefault="00AB6C7F" w:rsidP="00DF10C9">
            <w:pPr>
              <w:pStyle w:val="NormalnyWeb"/>
              <w:spacing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sz w:val="20"/>
                <w:szCs w:val="20"/>
              </w:rPr>
              <w:t xml:space="preserve">Wprowadzenie, budowanie relacji terapeutycznej. 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Specyfika pracy pielęgniarki w hospicjum stacjonarnym/oddziale medycyny paliatywnej. Nawiązywanie relacji z pacjentem i rodziną w sytuacji nieuleczalnej choroby. Techniki radzenia sobie z trudnymi emocjami pacjenta i rodziny (gniew, lęk, smutek). Komunikacja z pacjentem, który utracił nadzieję. </w:t>
            </w:r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Studium przypadku: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Pacjent z nowo rozpoznaną progresją choroby nowotworowej, przejawiający gniew i frustrację wobec personelu. Jego rodzina jest w fazie zaprzeczenia(lub podobny).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Kluczowe diagnozy pielęgniarskie (NANDA) do opracowania: nieefektywne radzenie sobie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Lęk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Nieefektywne zaprzeczanie. 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Upośledzone radzenie sobie przez rodzinę</w:t>
            </w:r>
            <w:r w:rsidRPr="00C67E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- 8h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AB6C7F" w:rsidRPr="00A2205B" w:rsidRDefault="00973D76" w:rsidP="00DF10C9">
            <w:pPr>
              <w:pStyle w:val="NormalnyWeb"/>
              <w:spacing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B.W3, D.U1, D.U17, D.U15, </w:t>
            </w:r>
            <w:r w:rsidR="0088733A">
              <w:rPr>
                <w:rFonts w:ascii="Arial" w:hAnsi="Arial" w:cs="Arial"/>
                <w:b/>
                <w:sz w:val="20"/>
                <w:szCs w:val="20"/>
              </w:rPr>
              <w:t>K.S1, K.S2, K.S3, K.S4</w:t>
            </w:r>
          </w:p>
        </w:tc>
      </w:tr>
      <w:tr w:rsidR="00AB6C7F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ZAJĘCIA PRAKTYCZNE 2</w:t>
            </w:r>
          </w:p>
        </w:tc>
        <w:tc>
          <w:tcPr>
            <w:tcW w:w="53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C7F" w:rsidRPr="00C67EAF" w:rsidRDefault="00AB6C7F" w:rsidP="00DF10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7EAF">
              <w:rPr>
                <w:rFonts w:ascii="Arial" w:hAnsi="Arial" w:cs="Arial"/>
                <w:b/>
                <w:sz w:val="20"/>
                <w:szCs w:val="20"/>
              </w:rPr>
              <w:t>Poprawa</w:t>
            </w:r>
            <w:proofErr w:type="spellEnd"/>
            <w:r w:rsidRPr="00C67E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sz w:val="20"/>
                <w:szCs w:val="20"/>
              </w:rPr>
              <w:t>komfortu</w:t>
            </w:r>
            <w:proofErr w:type="spellEnd"/>
            <w:r w:rsidRPr="00C67E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sz w:val="20"/>
                <w:szCs w:val="20"/>
              </w:rPr>
              <w:t>fizycznego</w:t>
            </w:r>
            <w:proofErr w:type="spellEnd"/>
            <w:r w:rsidRPr="00C67E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sz w:val="20"/>
                <w:szCs w:val="20"/>
              </w:rPr>
              <w:t>jakosci</w:t>
            </w:r>
            <w:proofErr w:type="spellEnd"/>
            <w:r w:rsidRPr="00C67E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sz w:val="20"/>
                <w:szCs w:val="20"/>
              </w:rPr>
              <w:t>życia</w:t>
            </w:r>
            <w:proofErr w:type="spellEnd"/>
            <w:r w:rsidRPr="00C67E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sz w:val="20"/>
                <w:szCs w:val="20"/>
              </w:rPr>
              <w:t>pacjenta</w:t>
            </w:r>
            <w:proofErr w:type="spellEnd"/>
            <w:r w:rsidRPr="00C67EA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Techniki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utrzymania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higieny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pacjenta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leżącego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szczególnym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uwzględnieniem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pielęgnacji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skóry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jamy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ustnej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Zasady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techniki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karmienia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(w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zgłębnik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/PEG)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wsparcia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odżywianiu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pacjenta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kacheksją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brakiem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apetytu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Pomoc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wydalaniu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radzenie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sobie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zaparciami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biegunką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Niefarmakologiczne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metody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łagodzenia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dolegliwości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masaż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techniki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relaksacyjne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zmiana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pozycji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mikroklimat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).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Studium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przypadku</w:t>
            </w:r>
            <w:proofErr w:type="spellEnd"/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Pacjent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zaawansowanym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wyniszczeniem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nowotworowym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kacheksją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unieruchomiony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łóżku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z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postępującym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osłabieniem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problemami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połykaniem</w:t>
            </w:r>
            <w:proofErr w:type="spellEnd"/>
            <w:r w:rsidRPr="00C67EA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Kluczowe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diagnozy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pielęgniarskie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(NANDA) do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opracowania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Deficyt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samoopieki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mycie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się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karmienie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wydalanie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Ryzyko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uszkodzenia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integralności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skóry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Niezrównoważone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odżywianie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mniej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niż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zapotrzebowanie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organizmu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Zaburzony</w:t>
            </w:r>
            <w:proofErr w:type="spellEnd"/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bCs/>
                <w:sz w:val="20"/>
                <w:szCs w:val="20"/>
              </w:rPr>
              <w:t>komfort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- 8h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AB6C7F" w:rsidRPr="00A2205B" w:rsidRDefault="0088733A" w:rsidP="00DF10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D.W4, D.W12, </w:t>
            </w:r>
            <w:r w:rsidR="00C032FF">
              <w:rPr>
                <w:rFonts w:ascii="Arial" w:hAnsi="Arial" w:cs="Arial"/>
                <w:sz w:val="20"/>
                <w:szCs w:val="20"/>
              </w:rPr>
              <w:t>D.U10, D.U2, D.U4,</w:t>
            </w:r>
            <w:r>
              <w:rPr>
                <w:rFonts w:ascii="Arial" w:hAnsi="Arial" w:cs="Arial"/>
                <w:sz w:val="20"/>
                <w:szCs w:val="20"/>
              </w:rPr>
              <w:t xml:space="preserve">K.S1, K.S3, K.S4, </w:t>
            </w:r>
            <w:r w:rsidR="00C032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6C7F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lastRenderedPageBreak/>
              <w:t>ZAJĘCIA PRAKTYCZNE 3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C7F" w:rsidRPr="00C67EAF" w:rsidRDefault="00AB6C7F" w:rsidP="00C67EAF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proofErr w:type="spellStart"/>
            <w:r w:rsidRPr="00C67EAF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Bezpieczenstwo</w:t>
            </w:r>
            <w:proofErr w:type="spellEnd"/>
            <w:r w:rsidRPr="00C67EAF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 farmakoterapii objawowej. </w:t>
            </w:r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Zasady bezpiecznego przygotowywania i podawania leków, w tym silnie działających, różnymi drogami (doustna, podskórna, dożylna, przezskórna).Zasady prowadzenia dokumentacji i nadzoru nad rozchodem leków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>opioidowycg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. Rozpoznawanie i monitorowanie najczęstszych działań niepożądanych farmakoterapii. Edukacja pacjenta i rodziny na temat stosowanych leków. </w:t>
            </w:r>
            <w:r w:rsidRPr="00C67EAF">
              <w:rPr>
                <w:rFonts w:ascii="Arial" w:hAnsi="Arial" w:cs="Arial"/>
                <w:b/>
                <w:bCs/>
                <w:sz w:val="20"/>
                <w:szCs w:val="20"/>
                <w:lang w:val="pl-PL" w:eastAsia="pl-PL"/>
              </w:rPr>
              <w:t>Studium przypadku:</w:t>
            </w:r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Pacjent otrzymujący leczenie przeciwbólowe z użyciem plastrów z fentanylem oraz doraźnych dawek morfiny. Występują u niego uporczywe zaparcia, nudności oraz senność utrudniająca kontakt(lub podobne)</w:t>
            </w:r>
            <w:r w:rsidRPr="00C67EAF">
              <w:rPr>
                <w:rFonts w:ascii="Arial" w:hAnsi="Arial" w:cs="Arial"/>
                <w:bCs/>
                <w:sz w:val="20"/>
                <w:szCs w:val="20"/>
                <w:lang w:val="pl-PL" w:eastAsia="pl-PL"/>
              </w:rPr>
              <w:t>Kluczowe diagnozy pielęgniarskie (NANDA) do opracowania:</w:t>
            </w:r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C67EAF">
              <w:rPr>
                <w:rFonts w:ascii="Arial" w:hAnsi="Arial" w:cs="Arial"/>
                <w:bCs/>
                <w:sz w:val="20"/>
                <w:szCs w:val="20"/>
                <w:lang w:val="pl-PL" w:eastAsia="pl-PL"/>
              </w:rPr>
              <w:t>Zaparcia.</w:t>
            </w:r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C67EAF">
              <w:rPr>
                <w:rFonts w:ascii="Arial" w:hAnsi="Arial" w:cs="Arial"/>
                <w:bCs/>
                <w:sz w:val="20"/>
                <w:szCs w:val="20"/>
                <w:lang w:val="pl-PL" w:eastAsia="pl-PL"/>
              </w:rPr>
              <w:t>Nudności.</w:t>
            </w:r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C67EAF">
              <w:rPr>
                <w:rFonts w:ascii="Arial" w:hAnsi="Arial" w:cs="Arial"/>
                <w:bCs/>
                <w:sz w:val="20"/>
                <w:szCs w:val="20"/>
                <w:lang w:val="pl-PL" w:eastAsia="pl-PL"/>
              </w:rPr>
              <w:t>Ryzyko upadku</w:t>
            </w:r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. </w:t>
            </w:r>
            <w:r w:rsidRPr="00C67EAF">
              <w:rPr>
                <w:rFonts w:ascii="Arial" w:hAnsi="Arial" w:cs="Arial"/>
                <w:bCs/>
                <w:sz w:val="20"/>
                <w:szCs w:val="20"/>
                <w:lang w:val="pl-PL" w:eastAsia="pl-PL"/>
              </w:rPr>
              <w:t>Gotowość do zwiększenia wiedzy</w:t>
            </w:r>
            <w:r>
              <w:rPr>
                <w:rFonts w:ascii="Arial" w:hAnsi="Arial" w:cs="Arial"/>
                <w:bCs/>
                <w:sz w:val="20"/>
                <w:szCs w:val="20"/>
                <w:lang w:val="pl-PL" w:eastAsia="pl-PL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 8h</w:t>
            </w:r>
          </w:p>
        </w:tc>
        <w:tc>
          <w:tcPr>
            <w:tcW w:w="1421" w:type="dxa"/>
            <w:gridSpan w:val="3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AB6C7F" w:rsidRPr="00A2205B" w:rsidRDefault="00C032FF" w:rsidP="00C67EAF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D.W5, D.W6, </w:t>
            </w:r>
            <w:r w:rsidR="0088733A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D.W8, </w:t>
            </w:r>
            <w:r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C.U15, D.U5, D.U7, D.U8, D.U9, </w:t>
            </w:r>
          </w:p>
        </w:tc>
      </w:tr>
      <w:tr w:rsidR="00AB6C7F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ZAJĘCIA PRAKTYCZNE 4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C7F" w:rsidRPr="00C67EAF" w:rsidRDefault="00AB6C7F" w:rsidP="00DF10C9">
            <w:pPr>
              <w:pStyle w:val="NormalnyWeb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Dylematy etyczne i opieka duchowa u kresu życia 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Rozpoznawanie i analiza dylematów etycznych w praktyce klinicznej. Pojęcia: uporczywa terapia, zasada podwójnego skutku, sedacja paliatywna. Rola pielęgniarki w procesie podejmowania decyzji etycznych. Rozpoznawanie i reagowanie na potrzeby duchowe pacjenta i rodziny. Współpraca z psychologiem i kapelanem. </w:t>
            </w:r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Studium przypadku: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Rodzina pacjenta niezdolnego do podejmowania decyzji nalega na kontynuację nawadniania, mimo że zespół ocenia te działania jako uporczywą terapię.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Kluczowe diagnozy pielęgniarskie (NANDA) do opracowania: Konflikt decyzyjny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Duchowa rozterka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Moralna rozterka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- 8h</w:t>
            </w:r>
          </w:p>
        </w:tc>
        <w:tc>
          <w:tcPr>
            <w:tcW w:w="1421" w:type="dxa"/>
            <w:gridSpan w:val="3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AB6C7F" w:rsidRPr="00A2205B" w:rsidRDefault="00C032FF" w:rsidP="00DF10C9">
            <w:pPr>
              <w:pStyle w:val="NormalnyWeb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D.W5, D.W6, D.W8, D.W42, D.U3, D.U41, D.U42</w:t>
            </w:r>
            <w:r w:rsidR="0088733A">
              <w:rPr>
                <w:rFonts w:ascii="Arial" w:hAnsi="Arial" w:cs="Arial"/>
                <w:sz w:val="20"/>
                <w:szCs w:val="20"/>
              </w:rPr>
              <w:t xml:space="preserve">, K.S2, K.S3, K.S5, K.S6, </w:t>
            </w:r>
          </w:p>
        </w:tc>
      </w:tr>
      <w:tr w:rsidR="00AB6C7F" w:rsidRPr="00C67EAF" w:rsidTr="00AB6C7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C7F" w:rsidRPr="00C67EAF" w:rsidRDefault="00AB6C7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ZAJĘCIA PRAKTYCZNE 5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C7F" w:rsidRPr="00C67EAF" w:rsidRDefault="00AB6C7F" w:rsidP="00343197">
            <w:pPr>
              <w:pStyle w:val="NormalnyWeb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Specyfika opieki paliatywnej w chorobach nienowotworowych 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Specyfika przebiegu i opieki w krańcowej niewydolności krążenia i niewydolności oddechowej. Różnice w trajektorii umierania w chorobach nowotworowych i nienowotworowych. Zasady prowadzenia tlenoterapii. Kompleksowa ocena pacjenta i planowanie interwencji. </w:t>
            </w:r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Studium przypadku: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Pacjent z krańcową niewydolnością serca (NYHA IV), z nasiloną dusznością spoczynkową, masywnymi obrzękami kończyn dolnych i lękiem przed uduszeniem. (lub podobne)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Kluczowe diagnozy pielęgniarskie (NANDA) do opracowania: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Nieefektywny wzorzec oddechowy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Lęk przed śmiercią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Nadmiar płynów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Nietolerancja wysiłku</w:t>
            </w:r>
            <w:r w:rsidRPr="00C67E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- 8h</w:t>
            </w:r>
          </w:p>
        </w:tc>
        <w:tc>
          <w:tcPr>
            <w:tcW w:w="1421" w:type="dxa"/>
            <w:gridSpan w:val="3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C032FF" w:rsidRPr="00A2205B" w:rsidRDefault="0088733A" w:rsidP="00343197">
            <w:pPr>
              <w:pStyle w:val="NormalnyWeb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D.W8, </w:t>
            </w:r>
            <w:r w:rsidR="00C032FF">
              <w:rPr>
                <w:rFonts w:ascii="Arial" w:hAnsi="Arial" w:cs="Arial"/>
                <w:sz w:val="20"/>
                <w:szCs w:val="20"/>
              </w:rPr>
              <w:t>D.W42, D.U3, D.U41, D.U42</w:t>
            </w:r>
            <w:r>
              <w:rPr>
                <w:rFonts w:ascii="Arial" w:hAnsi="Arial" w:cs="Arial"/>
                <w:sz w:val="20"/>
                <w:szCs w:val="20"/>
              </w:rPr>
              <w:t xml:space="preserve">, K.S2, K.S5, K.S6, </w:t>
            </w:r>
          </w:p>
        </w:tc>
      </w:tr>
      <w:tr w:rsidR="00A14571" w:rsidRPr="00C67EAF" w:rsidTr="00EC28E0">
        <w:trPr>
          <w:cantSplit/>
          <w:trHeight w:val="3360"/>
          <w:jc w:val="center"/>
        </w:trPr>
        <w:tc>
          <w:tcPr>
            <w:tcW w:w="2901" w:type="dxa"/>
            <w:vMerge w:val="restart"/>
            <w:tcBorders>
              <w:top w:val="single" w:sz="4" w:space="0" w:color="00608B"/>
              <w:left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571" w:rsidRPr="00C67EAF" w:rsidRDefault="00A14571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PRACA WŁASNA STUDENTA (pod kierunkiem)</w:t>
            </w:r>
          </w:p>
        </w:tc>
        <w:tc>
          <w:tcPr>
            <w:tcW w:w="5355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571" w:rsidRPr="00C67EAF" w:rsidRDefault="00A14571" w:rsidP="00AA5ED9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 xml:space="preserve">W ramach pracy własnej student, w porozumieniu z nauczycielem prowadzącym, wybiera do realizacji </w:t>
            </w:r>
            <w:r w:rsidRPr="00C67EAF">
              <w:rPr>
                <w:rFonts w:ascii="Arial" w:hAnsi="Arial" w:cs="Arial"/>
                <w:b/>
                <w:bCs/>
                <w:sz w:val="20"/>
                <w:szCs w:val="20"/>
              </w:rPr>
              <w:t>jedno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z poniższych zadań. </w:t>
            </w:r>
          </w:p>
          <w:p w:rsidR="00AD4333" w:rsidRPr="00AD4333" w:rsidRDefault="00A14571" w:rsidP="00AD4333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>"Szczegółowa analiza procesu pielęgnowania wybranego pacjenta" do wyboru</w:t>
            </w:r>
            <w:r w:rsidRPr="00C67EA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A14571" w:rsidRPr="00AD4333" w:rsidRDefault="00A14571" w:rsidP="00AD4333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AD4333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AD4333">
              <w:rPr>
                <w:rFonts w:ascii="Arial" w:hAnsi="Arial" w:cs="Arial"/>
                <w:bCs/>
                <w:sz w:val="20"/>
                <w:szCs w:val="20"/>
              </w:rPr>
              <w:t xml:space="preserve">pacjent z zaawansowanym guzem ośrodkowego układu nerwowego, </w:t>
            </w:r>
          </w:p>
          <w:p w:rsidR="00A14571" w:rsidRPr="00C67EAF" w:rsidRDefault="00A14571" w:rsidP="00AD4333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pacjentka z rozpadającą się, cuchnącą raną nowotworową,</w:t>
            </w:r>
          </w:p>
          <w:p w:rsidR="00A14571" w:rsidRPr="00C67EAF" w:rsidRDefault="00A14571" w:rsidP="00AD4333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pacjenta z wielopoziomową  niedrożnością przewodu pokarmowego</w:t>
            </w:r>
          </w:p>
          <w:p w:rsidR="00A14571" w:rsidRPr="00C67EAF" w:rsidRDefault="00A14571" w:rsidP="00AD4333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67EA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 xml:space="preserve"> ustalona z prowadzącym propozycja własna studenta</w:t>
            </w:r>
          </w:p>
          <w:p w:rsidR="00A14571" w:rsidRPr="00C67EAF" w:rsidRDefault="00A14571" w:rsidP="00A14571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auto"/>
              <w:right w:val="single" w:sz="12" w:space="0" w:color="00608B"/>
            </w:tcBorders>
            <w:shd w:val="clear" w:color="auto" w:fill="auto"/>
          </w:tcPr>
          <w:p w:rsidR="00A14571" w:rsidRPr="00C67EAF" w:rsidRDefault="00A14571" w:rsidP="00A14571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D.U1, D.U3, D.U4, D.U10, K.S2, K.S3, </w:t>
            </w:r>
          </w:p>
          <w:p w:rsidR="00A14571" w:rsidRPr="00C67EAF" w:rsidRDefault="00A14571" w:rsidP="00400BEF">
            <w:pPr>
              <w:pStyle w:val="NormalnyWeb"/>
              <w:spacing w:before="0" w:beforeAutospacing="0" w:after="0"/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571" w:rsidRPr="00C67EAF" w:rsidTr="00EF4A39">
        <w:trPr>
          <w:cantSplit/>
          <w:trHeight w:val="3420"/>
          <w:jc w:val="center"/>
        </w:trPr>
        <w:tc>
          <w:tcPr>
            <w:tcW w:w="2901" w:type="dxa"/>
            <w:vMerge/>
            <w:tcBorders>
              <w:left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571" w:rsidRPr="00C67EAF" w:rsidRDefault="00A14571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</w:p>
        </w:tc>
        <w:tc>
          <w:tcPr>
            <w:tcW w:w="5355" w:type="dxa"/>
            <w:gridSpan w:val="3"/>
            <w:tcBorders>
              <w:top w:val="single" w:sz="4" w:space="0" w:color="auto"/>
              <w:left w:val="single" w:sz="4" w:space="0" w:color="00608B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571" w:rsidRPr="00C67EAF" w:rsidRDefault="00A14571" w:rsidP="0088733A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>"Projekt materiałów edukacyjnych dla rodziny/opiekunów"</w:t>
            </w:r>
          </w:p>
          <w:p w:rsidR="00A14571" w:rsidRPr="00C67EAF" w:rsidRDefault="00A14571" w:rsidP="0088733A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>Student projektuje i tworzy praktyczne materiały edukacyjne na jeden z wybranych tematów (poradnik w formie PDF.)</w:t>
            </w:r>
          </w:p>
          <w:p w:rsidR="00A14571" w:rsidRPr="00C67EAF" w:rsidRDefault="00A14571" w:rsidP="0088733A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>Tematy do wyboru:</w:t>
            </w:r>
          </w:p>
          <w:p w:rsidR="00A14571" w:rsidRPr="00C67EAF" w:rsidRDefault="00A14571" w:rsidP="00AD4333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>- Zaparcia u pacjenta w opiece paliatywnej – jak sobie z nimi radzić?</w:t>
            </w:r>
          </w:p>
          <w:p w:rsidR="00A14571" w:rsidRPr="00C67EAF" w:rsidRDefault="00A14571" w:rsidP="00AD4333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>- Pielęgnacja jamy ustnej u kresu życia – dlaczego jest tak ważna i jak ją prawidłowo wykonywać?".</w:t>
            </w:r>
          </w:p>
          <w:p w:rsidR="00A14571" w:rsidRPr="00C67EAF" w:rsidRDefault="00A14571" w:rsidP="00AD4333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67EAF">
              <w:rPr>
                <w:rFonts w:ascii="Arial" w:hAnsi="Arial" w:cs="Arial"/>
                <w:bCs/>
                <w:sz w:val="20"/>
                <w:szCs w:val="20"/>
              </w:rPr>
              <w:t>ustalona z prowadzącym propozycja własna studenta</w:t>
            </w:r>
          </w:p>
          <w:p w:rsidR="00A14571" w:rsidRPr="00C67EAF" w:rsidRDefault="00A14571" w:rsidP="00A14571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608B"/>
            </w:tcBorders>
            <w:shd w:val="clear" w:color="auto" w:fill="auto"/>
          </w:tcPr>
          <w:p w:rsidR="00A14571" w:rsidRPr="00C67EAF" w:rsidRDefault="00A14571" w:rsidP="00A14571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>D.U.10, D.U.15, K.S1</w:t>
            </w:r>
            <w:r>
              <w:rPr>
                <w:rFonts w:ascii="Arial" w:hAnsi="Arial" w:cs="Arial"/>
                <w:sz w:val="20"/>
                <w:szCs w:val="20"/>
              </w:rPr>
              <w:t>, K.S3,</w:t>
            </w:r>
          </w:p>
          <w:p w:rsidR="00A14571" w:rsidRPr="00C67EAF" w:rsidRDefault="00A14571" w:rsidP="00400BEF">
            <w:pPr>
              <w:pStyle w:val="NormalnyWeb"/>
              <w:spacing w:before="0" w:beforeAutospacing="0" w:after="0"/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571" w:rsidRPr="00C67EAF" w:rsidTr="00EC28E0">
        <w:trPr>
          <w:cantSplit/>
          <w:trHeight w:val="1365"/>
          <w:jc w:val="center"/>
        </w:trPr>
        <w:tc>
          <w:tcPr>
            <w:tcW w:w="2901" w:type="dxa"/>
            <w:vMerge/>
            <w:tcBorders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571" w:rsidRPr="00C67EAF" w:rsidRDefault="00A14571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</w:p>
        </w:tc>
        <w:tc>
          <w:tcPr>
            <w:tcW w:w="5355" w:type="dxa"/>
            <w:gridSpan w:val="3"/>
            <w:tcBorders>
              <w:top w:val="single" w:sz="4" w:space="0" w:color="auto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571" w:rsidRPr="00C67EAF" w:rsidRDefault="00A14571" w:rsidP="00A14571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ind w:left="135" w:firstLine="225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 xml:space="preserve">"Analiza porównawcza niefarmakologicznych metod leczenia wybranego objawu (np. duszności, lęku lub bólu)"  na podstawie literatury. </w:t>
            </w:r>
          </w:p>
          <w:p w:rsidR="00A14571" w:rsidRPr="00C67EAF" w:rsidRDefault="00A14571" w:rsidP="00A14571">
            <w:pPr>
              <w:pStyle w:val="NormalnyWeb"/>
              <w:spacing w:before="0" w:after="0"/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A14571" w:rsidRPr="00C67EAF" w:rsidRDefault="00A14571" w:rsidP="00400BEF">
            <w:pPr>
              <w:pStyle w:val="NormalnyWeb"/>
              <w:spacing w:before="0" w:beforeAutospacing="0" w:after="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>B.W.3, D.U.5, D.U.9</w:t>
            </w:r>
            <w:r>
              <w:rPr>
                <w:rFonts w:ascii="Arial" w:hAnsi="Arial" w:cs="Arial"/>
                <w:sz w:val="20"/>
                <w:szCs w:val="20"/>
              </w:rPr>
              <w:t xml:space="preserve">, K.S3, 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B0124A">
            <w:pPr>
              <w:pStyle w:val="Styltabeli6"/>
              <w:jc w:val="center"/>
              <w:rPr>
                <w:rFonts w:ascii="Arial" w:hAnsi="Arial" w:cs="Arial"/>
                <w:color w:val="FEFFFF"/>
              </w:rPr>
            </w:pPr>
            <w:r w:rsidRPr="00C67EAF">
              <w:rPr>
                <w:rFonts w:ascii="Arial" w:hAnsi="Arial" w:cs="Arial"/>
                <w:color w:val="FFFFFF" w:themeColor="background1"/>
              </w:rPr>
              <w:t>METODY DYDAKTYCZNE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4A4733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W</w:t>
            </w:r>
            <w:r w:rsidR="00E11D64" w:rsidRPr="00C67EAF">
              <w:rPr>
                <w:rFonts w:ascii="Arial" w:hAnsi="Arial" w:cs="Arial"/>
                <w:color w:val="00608B"/>
              </w:rPr>
              <w:t>ykłady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E11D64" w:rsidP="004A4733">
            <w:pPr>
              <w:pStyle w:val="Tekstprzypisukocowego"/>
              <w:spacing w:after="120"/>
              <w:rPr>
                <w:rFonts w:ascii="Arial" w:hAnsi="Arial" w:cs="Arial"/>
                <w:strike/>
              </w:rPr>
            </w:pPr>
            <w:proofErr w:type="spellStart"/>
            <w:r w:rsidRPr="00C67EAF">
              <w:rPr>
                <w:rFonts w:ascii="Arial" w:hAnsi="Arial" w:cs="Arial"/>
              </w:rPr>
              <w:t>Wykład</w:t>
            </w:r>
            <w:proofErr w:type="spellEnd"/>
            <w:r w:rsidRPr="00C67EAF">
              <w:rPr>
                <w:rFonts w:ascii="Arial" w:hAnsi="Arial" w:cs="Arial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</w:rPr>
              <w:t>informacyjny</w:t>
            </w:r>
            <w:proofErr w:type="spellEnd"/>
            <w:r w:rsidRPr="00C67EAF">
              <w:rPr>
                <w:rFonts w:ascii="Arial" w:hAnsi="Arial" w:cs="Arial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</w:rPr>
              <w:t>wykład</w:t>
            </w:r>
            <w:proofErr w:type="spellEnd"/>
            <w:r w:rsidRPr="00C67EAF">
              <w:rPr>
                <w:rFonts w:ascii="Arial" w:hAnsi="Arial" w:cs="Arial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</w:rPr>
              <w:t>konwersatoryjny</w:t>
            </w:r>
            <w:proofErr w:type="spellEnd"/>
            <w:r w:rsidR="004A4733" w:rsidRPr="00C67EAF">
              <w:rPr>
                <w:rFonts w:ascii="Arial" w:hAnsi="Arial" w:cs="Arial"/>
              </w:rPr>
              <w:t>,</w:t>
            </w:r>
            <w:r w:rsidRPr="00C67EAF">
              <w:rPr>
                <w:rFonts w:ascii="Arial" w:hAnsi="Arial" w:cs="Arial"/>
              </w:rPr>
              <w:t xml:space="preserve">  </w:t>
            </w:r>
            <w:proofErr w:type="spellStart"/>
            <w:r w:rsidR="004A4733" w:rsidRPr="00C67EAF">
              <w:rPr>
                <w:rFonts w:ascii="Arial" w:hAnsi="Arial" w:cs="Arial"/>
              </w:rPr>
              <w:t>a</w:t>
            </w:r>
            <w:r w:rsidRPr="00C67EAF">
              <w:rPr>
                <w:rFonts w:ascii="Arial" w:hAnsi="Arial" w:cs="Arial"/>
              </w:rPr>
              <w:t>naliza</w:t>
            </w:r>
            <w:proofErr w:type="spellEnd"/>
            <w:r w:rsidRPr="00C67EAF">
              <w:rPr>
                <w:rFonts w:ascii="Arial" w:hAnsi="Arial" w:cs="Arial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</w:rPr>
              <w:t>przypadku</w:t>
            </w:r>
            <w:proofErr w:type="spellEnd"/>
            <w:r w:rsidRPr="00C67EAF">
              <w:rPr>
                <w:rFonts w:ascii="Arial" w:hAnsi="Arial" w:cs="Arial"/>
              </w:rPr>
              <w:t xml:space="preserve"> (case study)</w:t>
            </w:r>
            <w:r w:rsidR="004A4733" w:rsidRPr="00C67EAF">
              <w:rPr>
                <w:rFonts w:ascii="Arial" w:hAnsi="Arial" w:cs="Arial"/>
              </w:rPr>
              <w:t xml:space="preserve">. </w:t>
            </w:r>
            <w:r w:rsidR="00400BEF" w:rsidRPr="00C67EAF">
              <w:rPr>
                <w:rFonts w:ascii="Arial" w:hAnsi="Arial" w:cs="Arial"/>
                <w:lang w:val="pl-PL"/>
              </w:rPr>
              <w:t xml:space="preserve"> d</w:t>
            </w:r>
            <w:r w:rsidR="004A4733" w:rsidRPr="00C67EAF">
              <w:rPr>
                <w:rFonts w:ascii="Arial" w:hAnsi="Arial" w:cs="Arial"/>
                <w:lang w:val="pl-PL"/>
              </w:rPr>
              <w:t xml:space="preserve">yskusja,  </w:t>
            </w:r>
            <w:r w:rsidR="00400BEF" w:rsidRPr="00C67EAF">
              <w:rPr>
                <w:rFonts w:ascii="Arial" w:hAnsi="Arial" w:cs="Arial"/>
                <w:lang w:val="pl-PL"/>
              </w:rPr>
              <w:t>p</w:t>
            </w:r>
            <w:r w:rsidR="004A4733" w:rsidRPr="00C67EAF">
              <w:rPr>
                <w:rFonts w:ascii="Arial" w:hAnsi="Arial" w:cs="Arial"/>
                <w:lang w:val="pl-PL"/>
              </w:rPr>
              <w:t xml:space="preserve">rezentacja multimedialna, 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E11D64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4A4733" w:rsidP="004A4733">
            <w:pPr>
              <w:pStyle w:val="Tekstprzypisukocowego"/>
              <w:spacing w:after="120"/>
              <w:rPr>
                <w:rFonts w:ascii="Arial" w:hAnsi="Arial" w:cs="Arial"/>
                <w:strike/>
              </w:rPr>
            </w:pPr>
            <w:proofErr w:type="spellStart"/>
            <w:r w:rsidRPr="00C67EAF">
              <w:rPr>
                <w:rFonts w:ascii="Arial" w:hAnsi="Arial" w:cs="Arial"/>
              </w:rPr>
              <w:t>S</w:t>
            </w:r>
            <w:r w:rsidR="00E11D64" w:rsidRPr="00C67EAF">
              <w:rPr>
                <w:rFonts w:ascii="Arial" w:hAnsi="Arial" w:cs="Arial"/>
              </w:rPr>
              <w:t>ymulac</w:t>
            </w:r>
            <w:r w:rsidR="00DD0E95">
              <w:rPr>
                <w:rFonts w:ascii="Arial" w:hAnsi="Arial" w:cs="Arial"/>
              </w:rPr>
              <w:t>ja</w:t>
            </w:r>
            <w:proofErr w:type="spellEnd"/>
            <w:r w:rsidR="00DD0E95">
              <w:rPr>
                <w:rFonts w:ascii="Arial" w:hAnsi="Arial" w:cs="Arial"/>
              </w:rPr>
              <w:t xml:space="preserve"> </w:t>
            </w:r>
            <w:proofErr w:type="spellStart"/>
            <w:r w:rsidR="00DD0E95">
              <w:rPr>
                <w:rFonts w:ascii="Arial" w:hAnsi="Arial" w:cs="Arial"/>
              </w:rPr>
              <w:t>medyczn</w:t>
            </w:r>
            <w:r w:rsidRPr="00C67EAF">
              <w:rPr>
                <w:rFonts w:ascii="Arial" w:hAnsi="Arial" w:cs="Arial"/>
              </w:rPr>
              <w:t>a</w:t>
            </w:r>
            <w:proofErr w:type="spellEnd"/>
            <w:r w:rsidRPr="00C67EAF">
              <w:rPr>
                <w:rFonts w:ascii="Arial" w:hAnsi="Arial" w:cs="Arial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</w:rPr>
              <w:t>wysokiej</w:t>
            </w:r>
            <w:proofErr w:type="spellEnd"/>
            <w:r w:rsidRPr="00C67EAF">
              <w:rPr>
                <w:rFonts w:ascii="Arial" w:hAnsi="Arial" w:cs="Arial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</w:rPr>
              <w:t>wierności</w:t>
            </w:r>
            <w:proofErr w:type="spellEnd"/>
            <w:r w:rsidRPr="00C67EAF">
              <w:rPr>
                <w:rFonts w:ascii="Arial" w:hAnsi="Arial" w:cs="Arial"/>
              </w:rPr>
              <w:t>,</w:t>
            </w:r>
            <w:r w:rsidR="00E11D64" w:rsidRPr="00C67EAF">
              <w:rPr>
                <w:rFonts w:ascii="Arial" w:hAnsi="Arial" w:cs="Arial"/>
              </w:rPr>
              <w:t xml:space="preserve"> </w:t>
            </w:r>
            <w:r w:rsidRPr="00C67EAF">
              <w:rPr>
                <w:rFonts w:ascii="Arial" w:hAnsi="Arial" w:cs="Arial"/>
                <w:lang w:val="pl-PL"/>
              </w:rPr>
              <w:t xml:space="preserve"> dyskusja,  metoda problemowa,  burza mózgów, pokaz</w:t>
            </w:r>
            <w:r w:rsidR="00400BEF" w:rsidRPr="00C67EAF">
              <w:rPr>
                <w:rFonts w:ascii="Arial" w:hAnsi="Arial" w:cs="Arial"/>
                <w:lang w:val="pl-PL"/>
              </w:rPr>
              <w:t>, symulowany pacjent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E11D64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Zajęcia praktyczne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E11D64" w:rsidP="00400BEF">
            <w:pPr>
              <w:pStyle w:val="Tekstprzypisukocowego"/>
              <w:spacing w:after="120"/>
              <w:rPr>
                <w:rFonts w:ascii="Arial" w:hAnsi="Arial" w:cs="Arial"/>
                <w:strike/>
              </w:rPr>
            </w:pPr>
            <w:proofErr w:type="spellStart"/>
            <w:r w:rsidRPr="00C67EAF">
              <w:rPr>
                <w:rFonts w:ascii="Arial" w:hAnsi="Arial" w:cs="Arial"/>
              </w:rPr>
              <w:t>Anal</w:t>
            </w:r>
            <w:r w:rsidR="004A4733" w:rsidRPr="00C67EAF">
              <w:rPr>
                <w:rFonts w:ascii="Arial" w:hAnsi="Arial" w:cs="Arial"/>
              </w:rPr>
              <w:t>iza</w:t>
            </w:r>
            <w:proofErr w:type="spellEnd"/>
            <w:r w:rsidR="004A4733" w:rsidRPr="00C67EAF">
              <w:rPr>
                <w:rFonts w:ascii="Arial" w:hAnsi="Arial" w:cs="Arial"/>
              </w:rPr>
              <w:t xml:space="preserve"> </w:t>
            </w:r>
            <w:proofErr w:type="spellStart"/>
            <w:r w:rsidR="004A4733" w:rsidRPr="00C67EAF">
              <w:rPr>
                <w:rFonts w:ascii="Arial" w:hAnsi="Arial" w:cs="Arial"/>
              </w:rPr>
              <w:t>przypadku</w:t>
            </w:r>
            <w:proofErr w:type="spellEnd"/>
            <w:r w:rsidR="004A4733" w:rsidRPr="00C67EAF">
              <w:rPr>
                <w:rFonts w:ascii="Arial" w:hAnsi="Arial" w:cs="Arial"/>
              </w:rPr>
              <w:t xml:space="preserve"> (case study), </w:t>
            </w:r>
            <w:proofErr w:type="spellStart"/>
            <w:r w:rsidR="004A4733" w:rsidRPr="00C67EAF">
              <w:rPr>
                <w:rFonts w:ascii="Arial" w:hAnsi="Arial" w:cs="Arial"/>
              </w:rPr>
              <w:t>nauczanie</w:t>
            </w:r>
            <w:proofErr w:type="spellEnd"/>
            <w:r w:rsidR="004A4733" w:rsidRPr="00C67EAF">
              <w:rPr>
                <w:rFonts w:ascii="Arial" w:hAnsi="Arial" w:cs="Arial"/>
              </w:rPr>
              <w:t xml:space="preserve"> </w:t>
            </w:r>
            <w:proofErr w:type="spellStart"/>
            <w:r w:rsidR="004A4733" w:rsidRPr="00C67EAF">
              <w:rPr>
                <w:rFonts w:ascii="Arial" w:hAnsi="Arial" w:cs="Arial"/>
              </w:rPr>
              <w:t>przy</w:t>
            </w:r>
            <w:proofErr w:type="spellEnd"/>
            <w:r w:rsidR="004A4733" w:rsidRPr="00C67EAF">
              <w:rPr>
                <w:rFonts w:ascii="Arial" w:hAnsi="Arial" w:cs="Arial"/>
              </w:rPr>
              <w:t xml:space="preserve"> </w:t>
            </w:r>
            <w:proofErr w:type="spellStart"/>
            <w:r w:rsidR="004A4733" w:rsidRPr="00C67EAF">
              <w:rPr>
                <w:rFonts w:ascii="Arial" w:hAnsi="Arial" w:cs="Arial"/>
              </w:rPr>
              <w:t>łóżku</w:t>
            </w:r>
            <w:proofErr w:type="spellEnd"/>
            <w:r w:rsidR="004A4733" w:rsidRPr="00C67EAF">
              <w:rPr>
                <w:rFonts w:ascii="Arial" w:hAnsi="Arial" w:cs="Arial"/>
              </w:rPr>
              <w:t xml:space="preserve"> </w:t>
            </w:r>
            <w:proofErr w:type="spellStart"/>
            <w:r w:rsidR="004A4733" w:rsidRPr="00C67EAF">
              <w:rPr>
                <w:rFonts w:ascii="Arial" w:hAnsi="Arial" w:cs="Arial"/>
              </w:rPr>
              <w:t>chorego</w:t>
            </w:r>
            <w:proofErr w:type="spellEnd"/>
            <w:r w:rsidR="004A4733" w:rsidRPr="00C67EAF">
              <w:rPr>
                <w:rFonts w:ascii="Arial" w:hAnsi="Arial" w:cs="Arial"/>
              </w:rPr>
              <w:t xml:space="preserve"> </w:t>
            </w:r>
            <w:r w:rsidR="00400BEF" w:rsidRPr="00C67EAF">
              <w:rPr>
                <w:rFonts w:ascii="Arial" w:hAnsi="Arial" w:cs="Arial"/>
                <w:lang w:val="pl-PL"/>
              </w:rPr>
              <w:t xml:space="preserve"> d</w:t>
            </w:r>
            <w:r w:rsidR="004A4733" w:rsidRPr="00C67EAF">
              <w:rPr>
                <w:rFonts w:ascii="Arial" w:hAnsi="Arial" w:cs="Arial"/>
                <w:lang w:val="pl-PL"/>
              </w:rPr>
              <w:t>ys</w:t>
            </w:r>
            <w:r w:rsidR="00400BEF" w:rsidRPr="00C67EAF">
              <w:rPr>
                <w:rFonts w:ascii="Arial" w:hAnsi="Arial" w:cs="Arial"/>
                <w:lang w:val="pl-PL"/>
              </w:rPr>
              <w:t>kusja, metoda problemowa, b</w:t>
            </w:r>
            <w:r w:rsidR="004A4733" w:rsidRPr="00C67EAF">
              <w:rPr>
                <w:rFonts w:ascii="Arial" w:hAnsi="Arial" w:cs="Arial"/>
                <w:lang w:val="pl-PL"/>
              </w:rPr>
              <w:t>urza mózgów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E11D64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P</w:t>
            </w:r>
            <w:r w:rsidR="00400BEF" w:rsidRPr="00C67EAF">
              <w:rPr>
                <w:rFonts w:ascii="Arial" w:hAnsi="Arial" w:cs="Arial"/>
                <w:color w:val="00608B"/>
              </w:rPr>
              <w:t xml:space="preserve">raca </w:t>
            </w:r>
            <w:r w:rsidRPr="00C67EAF">
              <w:rPr>
                <w:rFonts w:ascii="Arial" w:hAnsi="Arial" w:cs="Arial"/>
                <w:color w:val="00608B"/>
              </w:rPr>
              <w:t>W</w:t>
            </w:r>
            <w:r w:rsidR="00400BEF" w:rsidRPr="00C67EAF">
              <w:rPr>
                <w:rFonts w:ascii="Arial" w:hAnsi="Arial" w:cs="Arial"/>
                <w:color w:val="00608B"/>
              </w:rPr>
              <w:t xml:space="preserve">łasna </w:t>
            </w:r>
            <w:r w:rsidRPr="00C67EAF">
              <w:rPr>
                <w:rFonts w:ascii="Arial" w:hAnsi="Arial" w:cs="Arial"/>
                <w:color w:val="00608B"/>
              </w:rPr>
              <w:t>S</w:t>
            </w:r>
            <w:r w:rsidR="00400BEF" w:rsidRPr="00C67EAF">
              <w:rPr>
                <w:rFonts w:ascii="Arial" w:hAnsi="Arial" w:cs="Arial"/>
                <w:color w:val="00608B"/>
              </w:rPr>
              <w:t>tudenta</w:t>
            </w:r>
            <w:r w:rsidRPr="00C67EAF">
              <w:rPr>
                <w:rFonts w:ascii="Arial" w:hAnsi="Arial" w:cs="Arial"/>
                <w:color w:val="00608B"/>
              </w:rPr>
              <w:t xml:space="preserve"> 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4A4733" w:rsidP="00411FB1">
            <w:pPr>
              <w:pStyle w:val="Tekstprzypisukocowego"/>
              <w:spacing w:after="120"/>
              <w:rPr>
                <w:rFonts w:ascii="Arial" w:hAnsi="Arial" w:cs="Arial"/>
                <w:iCs/>
              </w:rPr>
            </w:pPr>
            <w:proofErr w:type="spellStart"/>
            <w:r w:rsidRPr="00C67EAF">
              <w:rPr>
                <w:rFonts w:ascii="Arial" w:hAnsi="Arial" w:cs="Arial"/>
                <w:iCs/>
              </w:rPr>
              <w:t>Samokształcenie</w:t>
            </w:r>
            <w:proofErr w:type="spellEnd"/>
            <w:r w:rsidRPr="00C67EA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331775" w:rsidRPr="00C67EAF">
              <w:rPr>
                <w:rFonts w:ascii="Arial" w:hAnsi="Arial" w:cs="Arial"/>
                <w:iCs/>
              </w:rPr>
              <w:t>s</w:t>
            </w:r>
            <w:r w:rsidR="00E11D64" w:rsidRPr="00C67EAF">
              <w:rPr>
                <w:rFonts w:ascii="Arial" w:hAnsi="Arial" w:cs="Arial"/>
                <w:iCs/>
              </w:rPr>
              <w:t>tudium</w:t>
            </w:r>
            <w:proofErr w:type="spellEnd"/>
            <w:r w:rsidR="00E11D64" w:rsidRPr="00C67EA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11D64" w:rsidRPr="00C67EAF">
              <w:rPr>
                <w:rFonts w:ascii="Arial" w:hAnsi="Arial" w:cs="Arial"/>
                <w:iCs/>
              </w:rPr>
              <w:t>przypadku</w:t>
            </w:r>
            <w:proofErr w:type="spellEnd"/>
            <w:r w:rsidR="00331775" w:rsidRPr="00C67EA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331775" w:rsidRPr="00C67EAF">
              <w:rPr>
                <w:rFonts w:ascii="Arial" w:hAnsi="Arial" w:cs="Arial"/>
                <w:iCs/>
              </w:rPr>
              <w:t>krytyczna</w:t>
            </w:r>
            <w:proofErr w:type="spellEnd"/>
            <w:r w:rsidR="00331775" w:rsidRPr="00C67EA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331775" w:rsidRPr="00C67EAF">
              <w:rPr>
                <w:rFonts w:ascii="Arial" w:hAnsi="Arial" w:cs="Arial"/>
                <w:iCs/>
              </w:rPr>
              <w:t>analiza</w:t>
            </w:r>
            <w:proofErr w:type="spellEnd"/>
            <w:r w:rsidR="00331775" w:rsidRPr="00C67EA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331775" w:rsidRPr="00C67EAF">
              <w:rPr>
                <w:rFonts w:ascii="Arial" w:hAnsi="Arial" w:cs="Arial"/>
                <w:iCs/>
              </w:rPr>
              <w:t>literatury</w:t>
            </w:r>
            <w:proofErr w:type="spellEnd"/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B0124A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</w:rPr>
            </w:pPr>
            <w:r w:rsidRPr="00C67EAF">
              <w:rPr>
                <w:rFonts w:ascii="Arial" w:hAnsi="Arial" w:cs="Arial"/>
                <w:b/>
                <w:color w:val="FFFFFF" w:themeColor="background1"/>
              </w:rPr>
              <w:t>NAKŁAD PRACY STUDENTA</w:t>
            </w:r>
          </w:p>
        </w:tc>
      </w:tr>
      <w:tr w:rsidR="005C0B2F" w:rsidRPr="00C67EAF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C67EAF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DD5883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63</w:t>
            </w:r>
          </w:p>
        </w:tc>
      </w:tr>
      <w:tr w:rsidR="005C0B2F" w:rsidRPr="00C67EAF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5C0B2F" w:rsidRPr="00C67EAF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67EAF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70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pl-PL"/>
              </w:rPr>
            </w:pPr>
            <w:r w:rsidRPr="00C67EA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REGULAMIN ZAJĘĆ I WARUNKI ZALICZENIA</w:t>
            </w: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FB1" w:rsidRPr="00C67EAF" w:rsidRDefault="00411FB1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Wszystkie zajęcia są obowiązkowe.</w:t>
            </w:r>
          </w:p>
          <w:p w:rsidR="005C2A92" w:rsidRPr="005C2A92" w:rsidRDefault="007661A9" w:rsidP="005C2A9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Przedmiot kończy się zaliczeniem z oceną. </w:t>
            </w:r>
            <w:bookmarkStart w:id="0" w:name="_GoBack"/>
            <w:bookmarkEnd w:id="0"/>
          </w:p>
          <w:p w:rsidR="00411FB1" w:rsidRDefault="00411FB1" w:rsidP="00411FB1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C2A92">
              <w:rPr>
                <w:rFonts w:ascii="Arial" w:hAnsi="Arial" w:cs="Arial"/>
                <w:b/>
                <w:sz w:val="20"/>
                <w:szCs w:val="20"/>
                <w:lang w:val="pl-PL"/>
              </w:rPr>
              <w:t>Zajęcia praktyczne kończą się zaliczeniem z oceną.</w:t>
            </w:r>
          </w:p>
          <w:p w:rsidR="005C2A92" w:rsidRPr="005C2A92" w:rsidRDefault="005C2A92" w:rsidP="00411FB1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:rsidR="00411FB1" w:rsidRPr="00C67EAF" w:rsidRDefault="00411FB1" w:rsidP="00411FB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Warunki zaliczenia zajęć praktycznych </w:t>
            </w:r>
          </w:p>
          <w:p w:rsidR="00411FB1" w:rsidRPr="00035298" w:rsidRDefault="00411FB1" w:rsidP="0003529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5298">
              <w:rPr>
                <w:rFonts w:ascii="Arial" w:hAnsi="Arial" w:cs="Arial"/>
                <w:sz w:val="20"/>
                <w:szCs w:val="20"/>
                <w:lang w:val="pl-PL"/>
              </w:rPr>
              <w:t xml:space="preserve">obowiązkowa obecność na zajęciach </w:t>
            </w:r>
          </w:p>
          <w:p w:rsidR="00411FB1" w:rsidRPr="00035298" w:rsidRDefault="00411FB1" w:rsidP="0003529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5298">
              <w:rPr>
                <w:rFonts w:ascii="Arial" w:hAnsi="Arial" w:cs="Arial"/>
                <w:sz w:val="20"/>
                <w:szCs w:val="20"/>
                <w:lang w:val="pl-PL"/>
              </w:rPr>
              <w:t xml:space="preserve">przestrzeganie regulaminu zajęć praktycznych </w:t>
            </w:r>
          </w:p>
          <w:p w:rsidR="00331775" w:rsidRPr="00035298" w:rsidRDefault="00331775" w:rsidP="0003529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5298">
              <w:rPr>
                <w:rFonts w:ascii="Arial" w:hAnsi="Arial" w:cs="Arial"/>
                <w:sz w:val="20"/>
                <w:szCs w:val="20"/>
                <w:lang w:val="pl-PL"/>
              </w:rPr>
              <w:t>zaliczenie kolokwium z zakresu tematycznego zajęć</w:t>
            </w:r>
          </w:p>
          <w:p w:rsidR="00411FB1" w:rsidRPr="00035298" w:rsidRDefault="00411FB1" w:rsidP="0003529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5298">
              <w:rPr>
                <w:rFonts w:ascii="Arial" w:hAnsi="Arial" w:cs="Arial"/>
                <w:sz w:val="20"/>
                <w:szCs w:val="20"/>
                <w:lang w:val="pl-PL"/>
              </w:rPr>
              <w:t xml:space="preserve">oddanie dokumentacji procesu pielęgnowania </w:t>
            </w:r>
          </w:p>
          <w:p w:rsidR="00411FB1" w:rsidRPr="00035298" w:rsidRDefault="00411FB1" w:rsidP="0003529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5298">
              <w:rPr>
                <w:rFonts w:ascii="Arial" w:hAnsi="Arial" w:cs="Arial"/>
                <w:sz w:val="20"/>
                <w:szCs w:val="20"/>
                <w:lang w:val="pl-PL"/>
              </w:rPr>
              <w:t>zaliczenie efektów uczenia się  (dzienniczek umiejętności)</w:t>
            </w:r>
          </w:p>
          <w:p w:rsidR="00411FB1" w:rsidRPr="00C67EAF" w:rsidRDefault="00411FB1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Warunki dopuszczenia do egzaminu:</w:t>
            </w:r>
          </w:p>
          <w:p w:rsidR="00411FB1" w:rsidRPr="00035298" w:rsidRDefault="00411FB1" w:rsidP="00035298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5298">
              <w:rPr>
                <w:rFonts w:ascii="Arial" w:hAnsi="Arial" w:cs="Arial"/>
                <w:sz w:val="20"/>
                <w:szCs w:val="20"/>
                <w:lang w:val="pl-PL"/>
              </w:rPr>
              <w:t xml:space="preserve">uzyskanie zaliczenia z zajęć praktycznych </w:t>
            </w:r>
          </w:p>
          <w:p w:rsidR="00411FB1" w:rsidRPr="00035298" w:rsidRDefault="00411FB1" w:rsidP="00035298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5298">
              <w:rPr>
                <w:rFonts w:ascii="Arial" w:hAnsi="Arial" w:cs="Arial"/>
                <w:sz w:val="20"/>
                <w:szCs w:val="20"/>
                <w:lang w:val="pl-PL"/>
              </w:rPr>
              <w:t>zaliczenie godzin bez udziału nauczyciela (praca własna studenta</w:t>
            </w:r>
            <w:r w:rsidR="00331775" w:rsidRPr="00035298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  <w:p w:rsidR="00411FB1" w:rsidRPr="00C67EAF" w:rsidRDefault="00411FB1" w:rsidP="00411FB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Zaliczenie efektów uczenia się realizowanych na poszczególnych formach zajęć przeprowadza się w oparciu o  kryteria oceniania ustalone prze zespół programowy dla kierunku pielęgniarstwo</w:t>
            </w:r>
          </w:p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C0B2F" w:rsidRPr="00C67EAF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METODY OCENY POSTĘPU STUDENTÓW (WERYFIKACJA EFEKTÓW UCZENIA SIĘ)</w:t>
            </w:r>
          </w:p>
        </w:tc>
      </w:tr>
      <w:tr w:rsidR="005C0B2F" w:rsidRPr="00C67EAF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B0124A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W ZAKRESIE WIEDZY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7E0D12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Test wielokrotnego wyboru, odpowiedź ustna lub pisemna</w:t>
            </w:r>
          </w:p>
        </w:tc>
      </w:tr>
      <w:tr w:rsidR="005C0B2F" w:rsidRPr="00C67EAF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B0124A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7E0D12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Ocena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ciągła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zajęć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praktycznych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ocean</w:t>
            </w:r>
            <w:r w:rsidR="00331775" w:rsidRPr="00C67EAF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wykonania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procedur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dzienniczek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umiejętności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ocena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trakcie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symulacji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medyczne</w:t>
            </w:r>
            <w:r w:rsidR="00331775" w:rsidRPr="00C67EAF">
              <w:rPr>
                <w:rFonts w:ascii="Arial" w:hAnsi="Arial" w:cs="Arial"/>
                <w:sz w:val="20"/>
                <w:szCs w:val="20"/>
              </w:rPr>
              <w:t>j</w:t>
            </w:r>
            <w:proofErr w:type="spellEnd"/>
            <w:r w:rsidR="00331775"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31775" w:rsidRPr="00C67EAF">
              <w:rPr>
                <w:rFonts w:ascii="Arial" w:hAnsi="Arial" w:cs="Arial"/>
                <w:sz w:val="20"/>
                <w:szCs w:val="20"/>
              </w:rPr>
              <w:t>ocena</w:t>
            </w:r>
            <w:proofErr w:type="spellEnd"/>
            <w:r w:rsidR="00331775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31775" w:rsidRPr="00C67EAF">
              <w:rPr>
                <w:rFonts w:ascii="Arial" w:hAnsi="Arial" w:cs="Arial"/>
                <w:sz w:val="20"/>
                <w:szCs w:val="20"/>
              </w:rPr>
              <w:t>projektu</w:t>
            </w:r>
            <w:proofErr w:type="spellEnd"/>
            <w:r w:rsidR="00331775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31775" w:rsidRPr="00C67EAF">
              <w:rPr>
                <w:rFonts w:ascii="Arial" w:hAnsi="Arial" w:cs="Arial"/>
                <w:sz w:val="20"/>
                <w:szCs w:val="20"/>
              </w:rPr>
              <w:t>pracy</w:t>
            </w:r>
            <w:proofErr w:type="spellEnd"/>
            <w:r w:rsidR="00331775"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31775" w:rsidRPr="00C67EAF">
              <w:rPr>
                <w:rFonts w:ascii="Arial" w:hAnsi="Arial" w:cs="Arial"/>
                <w:sz w:val="20"/>
                <w:szCs w:val="20"/>
              </w:rPr>
              <w:t>własnej</w:t>
            </w:r>
            <w:proofErr w:type="spellEnd"/>
            <w:r w:rsidR="00331775" w:rsidRPr="00C67EAF">
              <w:rPr>
                <w:rFonts w:ascii="Arial" w:hAnsi="Arial" w:cs="Arial"/>
                <w:sz w:val="20"/>
                <w:szCs w:val="20"/>
              </w:rPr>
              <w:t>,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ocena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 dokumentacji procesu pielęgnowania</w:t>
            </w:r>
          </w:p>
        </w:tc>
      </w:tr>
      <w:tr w:rsidR="005C0B2F" w:rsidRPr="00C67EAF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B0124A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7E0D12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Obserwacja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postawy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studenta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zajęć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praktycznych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symulacyjnych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empatia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komunikacja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profesjonalizm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praca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zespole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5C0B2F" w:rsidRPr="00C67EAF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PRACA  WŁASNA STUDENTA (pod kierunkiem)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1775" w:rsidRPr="00C67EAF" w:rsidRDefault="00331775" w:rsidP="00331775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iCs/>
                <w:sz w:val="20"/>
                <w:szCs w:val="20"/>
              </w:rPr>
              <w:t xml:space="preserve">Proces pielęgnowania - 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Opracowanie powinno zawierać: pogłębioną ocenę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bio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psycho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-społeczno-duchową, 3-4 kluczowe diagnozy pielęgniarskie (NANDA) z pełną strukturą, określenie celów opieki (krótko- i długoterminowych), szczegółowy plan interwencji pielęgniarskich oparty na dowodach naukowych, propozycję metod ewaluacji skuteczności podjętych działań.</w:t>
            </w:r>
          </w:p>
          <w:p w:rsidR="00331775" w:rsidRPr="00C67EAF" w:rsidRDefault="00331775" w:rsidP="00331775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 xml:space="preserve">Materiały edukacyjne – Opracowanie to </w:t>
            </w:r>
            <w:r w:rsidR="00835009" w:rsidRPr="00C67EAF">
              <w:rPr>
                <w:rFonts w:ascii="Arial" w:hAnsi="Arial" w:cs="Arial"/>
                <w:sz w:val="20"/>
                <w:szCs w:val="20"/>
              </w:rPr>
              <w:t>3-4 strony broszury z zaleceniami prawidłowymi merytorycznie, sformułowanymi w jasny sposób, zrozumiałym językiem. Strona graficzna uwzględnia możliwe ograniczenia chorego.</w:t>
            </w:r>
          </w:p>
          <w:p w:rsidR="005C0B2F" w:rsidRPr="00C67EAF" w:rsidRDefault="00835009" w:rsidP="00835009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>Analiza metod niefarmakologicznych – oparta na co najmniej 3artykułach  naukowych, zawiera porównanie co najmniej trzech metod dla jednego objawu/problemu.</w:t>
            </w:r>
          </w:p>
        </w:tc>
      </w:tr>
      <w:tr w:rsidR="005C0B2F" w:rsidRPr="00C67EAF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B0124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9253A5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Kolokwium, Aktywn</w:t>
            </w:r>
            <w:r w:rsidR="00D9196B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ość na zajęciach, Ćwiczenia praktyczne, </w:t>
            </w: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Dokumentacja procesu pielęgnowania</w:t>
            </w:r>
          </w:p>
        </w:tc>
      </w:tr>
      <w:tr w:rsidR="005C0B2F" w:rsidRPr="00C67EAF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SPRAWDZIANY PODSUMOWUJĄCE</w:t>
            </w:r>
          </w:p>
          <w:p w:rsidR="005C0B2F" w:rsidRPr="00C67EAF" w:rsidRDefault="005C0B2F" w:rsidP="005C0B2F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 xml:space="preserve">(I </w:t>
            </w:r>
            <w:proofErr w:type="spellStart"/>
            <w:r w:rsidRPr="00C67E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i</w:t>
            </w:r>
            <w:proofErr w:type="spellEnd"/>
            <w:r w:rsidRPr="00C67E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3A5" w:rsidRPr="00C67EAF" w:rsidRDefault="00835009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Termin I: Test jednokrotnego wyboru co najmniej 30</w:t>
            </w:r>
            <w:r w:rsidR="009253A5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  pytań</w:t>
            </w:r>
          </w:p>
          <w:p w:rsidR="009253A5" w:rsidRPr="00C67EAF" w:rsidRDefault="00835009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>Termin II: Test jednokrotnego wyboru co najmniej 30</w:t>
            </w:r>
            <w:r w:rsidR="009253A5"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 pytań lub ustna odpowiedź na 3 pytania otwarte </w:t>
            </w:r>
          </w:p>
          <w:p w:rsidR="005C0B2F" w:rsidRPr="00C67EAF" w:rsidRDefault="005C0B2F" w:rsidP="00DD588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C0B2F" w:rsidRPr="00C67EAF" w:rsidTr="00352866">
        <w:trPr>
          <w:cantSplit/>
          <w:trHeight w:val="1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0B2F" w:rsidRPr="00C67EAF" w:rsidRDefault="005C0B2F" w:rsidP="005C0B2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KRYTERIA EGZAMINU/ ZALICZENIA Z OCENĄ</w:t>
            </w:r>
          </w:p>
        </w:tc>
      </w:tr>
      <w:tr w:rsidR="005C2A92" w:rsidRPr="00C67EAF" w:rsidTr="00527C3C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2A92" w:rsidRPr="00651358" w:rsidRDefault="005C2A92" w:rsidP="005C2A92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lastRenderedPageBreak/>
              <w:t>NA OCENĘ 2,0 (niedostateczną)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A92" w:rsidRPr="00651358" w:rsidRDefault="005C2A92" w:rsidP="005C2A92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≤ 64% maksymalnej liczby punktów.</w:t>
            </w:r>
          </w:p>
          <w:p w:rsidR="005C2A92" w:rsidRPr="00651358" w:rsidRDefault="005C2A92" w:rsidP="005C2A92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Umiejętności: efekty uczenia się nie są opanowane na poziomie podstawowym, mimo ukierunkowania nauczyciela; brak aktywności na zajęciach; nie podejmuje współpracy w zespole.</w:t>
            </w:r>
          </w:p>
          <w:p w:rsidR="005C2A92" w:rsidRPr="00651358" w:rsidRDefault="005C2A92" w:rsidP="005C2A92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Kompetencje społeczne: efekty uczenia się opanowane na poziomie niezadowalającym; brak poszanowania zasad współpracy, empatii i odpowiedzialności</w:t>
            </w:r>
          </w:p>
        </w:tc>
      </w:tr>
      <w:tr w:rsidR="005C2A92" w:rsidRPr="00C67EAF" w:rsidTr="00527C3C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2A92" w:rsidRPr="00651358" w:rsidRDefault="005C2A92" w:rsidP="005C2A92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3,0 (dostateczną)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A92" w:rsidRPr="00651358" w:rsidRDefault="005C2A92" w:rsidP="005C2A92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60-65% maksymalnej liczby punktów.</w:t>
            </w:r>
          </w:p>
          <w:p w:rsidR="005C2A92" w:rsidRPr="00651358" w:rsidRDefault="005C2A92" w:rsidP="005C2A92">
            <w:pPr>
              <w:pStyle w:val="Akapitzlist"/>
              <w:numPr>
                <w:ilvl w:val="0"/>
                <w:numId w:val="28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podstawowym; student wymaga stałego ukierunkowania; korzysta z piśmiennictwa podstawowego w ograniczonym zakresie; aktywność minimalna; w pracy zespołowej wymaga stałej pomocy.</w:t>
            </w:r>
          </w:p>
          <w:p w:rsidR="005C2A92" w:rsidRPr="00651358" w:rsidRDefault="005C2A92" w:rsidP="005C2A92">
            <w:pPr>
              <w:pStyle w:val="Akapitzlist"/>
              <w:numPr>
                <w:ilvl w:val="0"/>
                <w:numId w:val="28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Kompetencje społeczne: efekty uczenia się opanowane na poziomie podstawowym.</w:t>
            </w:r>
          </w:p>
        </w:tc>
      </w:tr>
      <w:tr w:rsidR="005C2A92" w:rsidRPr="00C67EAF" w:rsidTr="00527C3C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2A92" w:rsidRPr="00651358" w:rsidRDefault="005C2A92" w:rsidP="005C2A92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3,5 (dostateczną plus)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A92" w:rsidRPr="00651358" w:rsidRDefault="005C2A92" w:rsidP="005C2A92">
            <w:pPr>
              <w:pStyle w:val="NormalnyWeb"/>
              <w:numPr>
                <w:ilvl w:val="0"/>
                <w:numId w:val="29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66-70% maksymalnej liczby punktów.</w:t>
            </w:r>
          </w:p>
          <w:p w:rsidR="005C2A92" w:rsidRPr="00651358" w:rsidRDefault="005C2A92" w:rsidP="005C2A92">
            <w:pPr>
              <w:pStyle w:val="Akapitzlist"/>
              <w:numPr>
                <w:ilvl w:val="0"/>
                <w:numId w:val="29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 w sposób usystematyzowany; student wymaga niewielkiego ukierunkowania; aktywność niewielka; w pracy zespołowej wymaga pomocy w ograniczonym zakresie; korzysta w pełni z piśmiennictwa podstawowego.</w:t>
            </w:r>
          </w:p>
          <w:p w:rsidR="005C2A92" w:rsidRPr="00651358" w:rsidRDefault="005C2A92" w:rsidP="005C2A92">
            <w:pPr>
              <w:pStyle w:val="Akapitzlist"/>
              <w:numPr>
                <w:ilvl w:val="0"/>
                <w:numId w:val="29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Kompetencje społeczne: efekty uczenia się opanowane na poziomie podstawowym w sposób uporządkowany.</w:t>
            </w:r>
          </w:p>
        </w:tc>
      </w:tr>
      <w:tr w:rsidR="005C2A92" w:rsidRPr="00C67EAF" w:rsidTr="00527C3C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2A92" w:rsidRPr="00651358" w:rsidRDefault="005C2A92" w:rsidP="005C2A92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4,0 (dobrą)</w:t>
            </w: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A92" w:rsidRPr="00651358" w:rsidRDefault="005C2A92" w:rsidP="005C2A92">
            <w:pPr>
              <w:pStyle w:val="NormalnyWeb"/>
              <w:numPr>
                <w:ilvl w:val="0"/>
                <w:numId w:val="30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71–84% maksymalnej liczby punktów.</w:t>
            </w:r>
          </w:p>
          <w:p w:rsidR="005C2A92" w:rsidRPr="00651358" w:rsidRDefault="005C2A92" w:rsidP="005C2A92">
            <w:pPr>
              <w:pStyle w:val="Akapitzlist"/>
              <w:numPr>
                <w:ilvl w:val="0"/>
                <w:numId w:val="30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ponadpodstawowym, w sposób usystematyzowany; student samodzielny w sytuacjach typowych, potrafi formułować wnioski; aktywność zadowalająca; w pracy zespołowej nie wymaga pomocy w sytuacjach standardowych; korzysta z piśmiennictwa podstawowego w pełni, z uzupełniającego w ograniczonym zakresie.</w:t>
            </w:r>
          </w:p>
          <w:p w:rsidR="005C2A92" w:rsidRPr="00651358" w:rsidRDefault="005C2A92" w:rsidP="005C2A92">
            <w:pPr>
              <w:pStyle w:val="Akapitzlist"/>
              <w:numPr>
                <w:ilvl w:val="0"/>
                <w:numId w:val="30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Kompetencje społeczne: efekty uczenia się opanowane na poziomie ponadpodstawowym, w sposób uporządkowany.</w:t>
            </w:r>
          </w:p>
        </w:tc>
      </w:tr>
      <w:tr w:rsidR="005C2A92" w:rsidRPr="00C67EAF" w:rsidTr="00527C3C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2A92" w:rsidRPr="00651358" w:rsidRDefault="005C2A92" w:rsidP="005C2A92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4,5  (dobrą plus)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A92" w:rsidRPr="00651358" w:rsidRDefault="005C2A92" w:rsidP="005C2A92">
            <w:pPr>
              <w:pStyle w:val="NormalnyWeb"/>
              <w:numPr>
                <w:ilvl w:val="0"/>
                <w:numId w:val="31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85–89% maksymalnej liczby punktów.</w:t>
            </w:r>
          </w:p>
          <w:p w:rsidR="005C2A92" w:rsidRPr="00651358" w:rsidRDefault="005C2A92" w:rsidP="005C2A92">
            <w:pPr>
              <w:pStyle w:val="Akapitzlist"/>
              <w:numPr>
                <w:ilvl w:val="0"/>
                <w:numId w:val="31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ponadpodstawowym; student wykazuje się usystematyzowaną wiedzą i umiejętnościami; w dużej mierze samodzielny, ale w sytuacjach trudniejszych wymaga sporadycznego wsparcia; potrafi skorygować błędy po krótkim ukierunkowaniu.</w:t>
            </w:r>
          </w:p>
          <w:p w:rsidR="005C2A92" w:rsidRPr="00651358" w:rsidRDefault="005C2A92" w:rsidP="005C2A92">
            <w:pPr>
              <w:pStyle w:val="Akapitzlist"/>
              <w:numPr>
                <w:ilvl w:val="0"/>
                <w:numId w:val="31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Kompetencje społeczne: efekty uczenia się opanowane na poziomie zadowalającym; student zaangażowany, prawidłowo współpracuje z zespołem i pacjentem, wymaga jedynie niewielkich wskazówek.</w:t>
            </w:r>
          </w:p>
        </w:tc>
      </w:tr>
      <w:tr w:rsidR="005C2A92" w:rsidRPr="00C67EAF" w:rsidTr="00527C3C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2A92" w:rsidRPr="00651358" w:rsidRDefault="005C2A92" w:rsidP="005C2A92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lastRenderedPageBreak/>
              <w:t>NA OCENĘ 5,0 (bardzo dobrą)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A92" w:rsidRPr="00651358" w:rsidRDefault="005C2A92" w:rsidP="005C2A92">
            <w:pPr>
              <w:pStyle w:val="NormalnyWeb"/>
              <w:numPr>
                <w:ilvl w:val="0"/>
                <w:numId w:val="33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90–99% maksymalnej liczby punktów.</w:t>
            </w:r>
          </w:p>
          <w:p w:rsidR="005C2A92" w:rsidRPr="00651358" w:rsidRDefault="005C2A92" w:rsidP="005C2A92">
            <w:pPr>
              <w:pStyle w:val="Akapitzlist"/>
              <w:numPr>
                <w:ilvl w:val="0"/>
                <w:numId w:val="32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wysokim; student samodzielny także w sytuacjach złożonych i problemowych; aktywność bardzo duża; w pracy zespołowej nie wymaga pomocy nawet w sytuacjach nowych i trudnych; samodzielnie poszukuje informacji, korzystając także z piśmiennictwa spoza listy podstawowej i uzupełniającej.</w:t>
            </w:r>
          </w:p>
          <w:p w:rsidR="005C2A92" w:rsidRPr="00651358" w:rsidRDefault="005C2A92" w:rsidP="005C2A92">
            <w:pPr>
              <w:pStyle w:val="Akapitzlist"/>
              <w:numPr>
                <w:ilvl w:val="0"/>
                <w:numId w:val="32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Kompetencje społeczne: efekty uczenia się opanowane na poziomie wysokim; student w pełni zaangażowany, empatyczny, wykazuje dojrzałość w relacjach z pacjentem i zespołem.</w:t>
            </w:r>
          </w:p>
        </w:tc>
      </w:tr>
      <w:tr w:rsidR="005C2A92" w:rsidRPr="00C67EAF" w:rsidTr="00527C3C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2A92" w:rsidRPr="00651358" w:rsidRDefault="005C2A92" w:rsidP="005C2A92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6,0 (celującą)</w:t>
            </w: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A92" w:rsidRPr="00651358" w:rsidRDefault="005C2A92" w:rsidP="005C2A92">
            <w:pPr>
              <w:pStyle w:val="NormalnyWeb"/>
              <w:numPr>
                <w:ilvl w:val="0"/>
                <w:numId w:val="34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100% maksymalnej liczby punktów.</w:t>
            </w:r>
          </w:p>
          <w:p w:rsidR="005C2A92" w:rsidRPr="00651358" w:rsidRDefault="005C2A92" w:rsidP="005C2A92">
            <w:pPr>
              <w:pStyle w:val="Akapitzlist"/>
              <w:numPr>
                <w:ilvl w:val="0"/>
                <w:numId w:val="34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student opanował efekty uczenia się na poziomie wykraczającym poza standard programowy; wykazuje się inicjatywą, kreatywnością, potrafi wprowadzać innowacyjne rozwiązania w opiece pielęgniarskiej; aktywnie uczestniczy w projektach dydaktycznych lub naukowych.</w:t>
            </w:r>
          </w:p>
          <w:p w:rsidR="005C2A92" w:rsidRPr="00651358" w:rsidRDefault="005C2A92" w:rsidP="005C2A92">
            <w:pPr>
              <w:pStyle w:val="Akapitzlist"/>
              <w:numPr>
                <w:ilvl w:val="0"/>
                <w:numId w:val="34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Kompetencje społeczne: wyróżniająca postawa wobec pacjenta, rodziny i zespołu; wysoka empatia, samodzielność i gotowość do pełnienia roli lidera w zespole terapeutycznym.</w:t>
            </w:r>
          </w:p>
        </w:tc>
      </w:tr>
      <w:tr w:rsidR="005C2A92" w:rsidRPr="00C67EAF" w:rsidTr="00352866">
        <w:trPr>
          <w:cantSplit/>
          <w:trHeight w:val="1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2A92" w:rsidRPr="00C67EAF" w:rsidRDefault="005C2A92" w:rsidP="005C2A9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pl-PL"/>
              </w:rPr>
            </w:pPr>
            <w:r w:rsidRPr="00DD0E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LITERATURA OBOWIĄZKOWA</w:t>
            </w:r>
          </w:p>
        </w:tc>
      </w:tr>
      <w:tr w:rsidR="005C2A92" w:rsidRPr="00C67EAF" w:rsidTr="00352866">
        <w:trPr>
          <w:cantSplit/>
          <w:trHeight w:val="567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2A92" w:rsidRPr="00C67EAF" w:rsidRDefault="005C2A92" w:rsidP="005C2A92">
            <w:pPr>
              <w:pStyle w:val="Akapitzlist"/>
              <w:widowControl w:val="0"/>
              <w:numPr>
                <w:ilvl w:val="2"/>
                <w:numId w:val="17"/>
              </w:numPr>
              <w:suppressAutoHyphens/>
              <w:autoSpaceDN w:val="0"/>
              <w:spacing w:afterLines="40" w:after="96"/>
              <w:ind w:left="484" w:hanging="283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>De Walden-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Gałuszko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K.,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Kaptacz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A. (red.):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Pielęgniarstwo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opiece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paliatywnej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hospicyjnej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Wydawnictwo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Lekarskie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PZWL, Warszawa, 2024.</w:t>
            </w:r>
          </w:p>
          <w:p w:rsidR="005C2A92" w:rsidRPr="00C67EAF" w:rsidRDefault="005C2A92" w:rsidP="005C2A92">
            <w:pPr>
              <w:pStyle w:val="Akapitzlist"/>
              <w:widowControl w:val="0"/>
              <w:numPr>
                <w:ilvl w:val="2"/>
                <w:numId w:val="17"/>
              </w:numPr>
              <w:suppressAutoHyphens/>
              <w:autoSpaceDN w:val="0"/>
              <w:spacing w:afterLines="40" w:after="96"/>
              <w:ind w:left="484" w:hanging="283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Białoń-Janusz A,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>Kaptacz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I, Kwiecińska A. Standardy postępowania pielęgniarskiego w opiece paliatywnej. W: </w:t>
            </w:r>
            <w:r w:rsidRPr="00C67EAF">
              <w:rPr>
                <w:rFonts w:ascii="Arial" w:hAnsi="Arial" w:cs="Arial"/>
                <w:i/>
                <w:iCs/>
                <w:sz w:val="20"/>
                <w:szCs w:val="20"/>
                <w:lang w:val="pl-PL" w:eastAsia="pl-PL"/>
              </w:rPr>
              <w:t>Standardy i procedury w pielęgniarstwie onkologicznym</w:t>
            </w:r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. Red. Ślusarska B,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>Łuczyk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M,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>Szadowska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  <w:lang w:val="pl-PL" w:eastAsia="pl-PL"/>
              </w:rPr>
              <w:t>-Szlachetka Z. Warszawa: PZWL Wydawnictwo Lekarskie; 2020. s. 463–492+.</w:t>
            </w:r>
          </w:p>
          <w:p w:rsidR="005C2A92" w:rsidRPr="00C67EAF" w:rsidRDefault="005C2A92" w:rsidP="005C2A92">
            <w:pPr>
              <w:pStyle w:val="Akapitzlist"/>
              <w:widowControl w:val="0"/>
              <w:numPr>
                <w:ilvl w:val="2"/>
                <w:numId w:val="17"/>
              </w:numPr>
              <w:suppressAutoHyphens/>
              <w:autoSpaceDN w:val="0"/>
              <w:spacing w:afterLines="40" w:after="96"/>
              <w:ind w:left="484" w:hanging="283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Ciałkowska-Rysz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A.,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Dzierżanowski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T. (red.):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Medycyna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Paliatywna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Termedia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Poznań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, 2025.</w:t>
            </w:r>
          </w:p>
        </w:tc>
      </w:tr>
      <w:tr w:rsidR="005C2A92" w:rsidRPr="00C67EAF" w:rsidTr="00352866">
        <w:trPr>
          <w:cantSplit/>
          <w:trHeight w:val="1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2A92" w:rsidRPr="00DD0E95" w:rsidRDefault="005C2A92" w:rsidP="005C2A9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DD0E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LITERATURA UZUPEŁNIAJĄCA</w:t>
            </w:r>
          </w:p>
        </w:tc>
      </w:tr>
      <w:tr w:rsidR="005C2A92" w:rsidRPr="00C67EAF" w:rsidTr="00352866">
        <w:trPr>
          <w:cantSplit/>
          <w:trHeight w:val="340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2A92" w:rsidRPr="00C67EAF" w:rsidRDefault="005C2A92" w:rsidP="005C2A92">
            <w:pPr>
              <w:spacing w:afterLines="40" w:after="96"/>
              <w:ind w:left="484" w:hanging="28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Kubler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-Ross E.: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Rozmowy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śmierci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umieraniu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C67EAF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Rodzina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. 2021</w:t>
            </w:r>
          </w:p>
          <w:p w:rsidR="005C2A92" w:rsidRPr="00C67EAF" w:rsidRDefault="005C2A92" w:rsidP="005C2A92">
            <w:pPr>
              <w:spacing w:afterLines="40" w:after="96"/>
              <w:ind w:left="484" w:hanging="28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Pr="00C67EAF">
              <w:rPr>
                <w:rFonts w:ascii="Arial" w:hAnsi="Arial" w:cs="Arial"/>
                <w:sz w:val="20"/>
                <w:szCs w:val="20"/>
              </w:rPr>
              <w:t>De Walden-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Gałuszko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K.:</w:t>
            </w:r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Psychoonkologia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praktyce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klinicznej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, PZWL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2019</w:t>
            </w:r>
          </w:p>
          <w:p w:rsidR="005C2A92" w:rsidRPr="00C67EAF" w:rsidRDefault="005C2A92" w:rsidP="005C2A92">
            <w:pPr>
              <w:spacing w:afterLines="40" w:after="96"/>
              <w:ind w:left="484" w:hanging="28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7EAF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Zorza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V,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Zorza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R.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Sposób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umieranie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Żyć</w:t>
            </w:r>
            <w:proofErr w:type="spellEnd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 </w:t>
            </w:r>
            <w:proofErr w:type="spellStart"/>
            <w:r w:rsidRPr="00C67EAF">
              <w:rPr>
                <w:rFonts w:ascii="Arial" w:hAnsi="Arial" w:cs="Arial"/>
                <w:i/>
                <w:iCs/>
                <w:sz w:val="20"/>
                <w:szCs w:val="20"/>
              </w:rPr>
              <w:t>końca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Tłum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Wermuth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 R.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Poznań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 xml:space="preserve">: Media </w:t>
            </w:r>
            <w:proofErr w:type="spellStart"/>
            <w:r w:rsidRPr="00C67EAF">
              <w:rPr>
                <w:rFonts w:ascii="Arial" w:hAnsi="Arial" w:cs="Arial"/>
                <w:sz w:val="20"/>
                <w:szCs w:val="20"/>
              </w:rPr>
              <w:t>Rodzina</w:t>
            </w:r>
            <w:proofErr w:type="spellEnd"/>
            <w:r w:rsidRPr="00C67EAF">
              <w:rPr>
                <w:rFonts w:ascii="Arial" w:hAnsi="Arial" w:cs="Arial"/>
                <w:sz w:val="20"/>
                <w:szCs w:val="20"/>
              </w:rPr>
              <w:t>; 1999.</w:t>
            </w:r>
          </w:p>
          <w:p w:rsidR="005C2A92" w:rsidRPr="00C67EAF" w:rsidRDefault="005C2A92" w:rsidP="005C2A9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</w:tbl>
    <w:p w:rsidR="007B2BCC" w:rsidRPr="00C67EAF" w:rsidRDefault="007B2BCC" w:rsidP="007B2BCC">
      <w:pPr>
        <w:pStyle w:val="Tre"/>
        <w:rPr>
          <w:rFonts w:ascii="Arial" w:hAnsi="Arial" w:cs="Arial"/>
          <w:color w:val="auto"/>
          <w:sz w:val="20"/>
          <w:szCs w:val="20"/>
        </w:rPr>
      </w:pPr>
    </w:p>
    <w:sectPr w:rsidR="007B2BCC" w:rsidRPr="00C67EAF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D2" w:rsidRDefault="004C76D2" w:rsidP="003D4ABA">
      <w:r>
        <w:separator/>
      </w:r>
    </w:p>
  </w:endnote>
  <w:endnote w:type="continuationSeparator" w:id="0">
    <w:p w:rsidR="004C76D2" w:rsidRDefault="004C76D2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68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35009" w:rsidRDefault="00835009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="005E516C"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="005E516C"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7661A9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10</w:t>
            </w:r>
            <w:r w:rsidR="005E516C"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="005E516C"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="005E516C"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7661A9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10</w:t>
            </w:r>
            <w:r w:rsidR="005E516C"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:rsidR="00835009" w:rsidRPr="0099074A" w:rsidRDefault="00835009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D2" w:rsidRDefault="004C76D2" w:rsidP="003D4ABA">
      <w:r>
        <w:separator/>
      </w:r>
    </w:p>
  </w:footnote>
  <w:footnote w:type="continuationSeparator" w:id="0">
    <w:p w:rsidR="004C76D2" w:rsidRDefault="004C76D2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D7C2B"/>
    <w:multiLevelType w:val="multilevel"/>
    <w:tmpl w:val="94A0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1776F"/>
    <w:multiLevelType w:val="multilevel"/>
    <w:tmpl w:val="64D2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217F3"/>
    <w:multiLevelType w:val="multilevel"/>
    <w:tmpl w:val="1730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25956"/>
    <w:multiLevelType w:val="multilevel"/>
    <w:tmpl w:val="EFE0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770D8"/>
    <w:multiLevelType w:val="multilevel"/>
    <w:tmpl w:val="C28E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632F4"/>
    <w:multiLevelType w:val="multilevel"/>
    <w:tmpl w:val="FA40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95887"/>
    <w:multiLevelType w:val="multilevel"/>
    <w:tmpl w:val="0708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A15F8F"/>
    <w:multiLevelType w:val="multilevel"/>
    <w:tmpl w:val="6BDC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F4515E"/>
    <w:multiLevelType w:val="multilevel"/>
    <w:tmpl w:val="838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C52AB"/>
    <w:multiLevelType w:val="multilevel"/>
    <w:tmpl w:val="3D5C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12784"/>
    <w:multiLevelType w:val="multilevel"/>
    <w:tmpl w:val="4D38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17B10"/>
    <w:multiLevelType w:val="hybridMultilevel"/>
    <w:tmpl w:val="E4E2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F7C72"/>
    <w:multiLevelType w:val="hybridMultilevel"/>
    <w:tmpl w:val="FA8E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060FE"/>
    <w:multiLevelType w:val="hybridMultilevel"/>
    <w:tmpl w:val="809A0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F544A"/>
    <w:multiLevelType w:val="hybridMultilevel"/>
    <w:tmpl w:val="E260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F4149"/>
    <w:multiLevelType w:val="multilevel"/>
    <w:tmpl w:val="A0F0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7191"/>
    <w:multiLevelType w:val="multilevel"/>
    <w:tmpl w:val="BDC8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F61F1"/>
    <w:multiLevelType w:val="multilevel"/>
    <w:tmpl w:val="54C4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0D1844"/>
    <w:multiLevelType w:val="hybridMultilevel"/>
    <w:tmpl w:val="46082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B2B50"/>
    <w:multiLevelType w:val="hybridMultilevel"/>
    <w:tmpl w:val="A5E4C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573AA"/>
    <w:multiLevelType w:val="multilevel"/>
    <w:tmpl w:val="377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865B15"/>
    <w:multiLevelType w:val="multilevel"/>
    <w:tmpl w:val="0DD6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014485"/>
    <w:multiLevelType w:val="multilevel"/>
    <w:tmpl w:val="D2D2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3E3CC9"/>
    <w:multiLevelType w:val="hybridMultilevel"/>
    <w:tmpl w:val="3F2C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516B"/>
    <w:multiLevelType w:val="hybridMultilevel"/>
    <w:tmpl w:val="F97ED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76FFE"/>
    <w:multiLevelType w:val="hybridMultilevel"/>
    <w:tmpl w:val="4F640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03AF5"/>
    <w:multiLevelType w:val="hybridMultilevel"/>
    <w:tmpl w:val="1ABA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83572"/>
    <w:multiLevelType w:val="multilevel"/>
    <w:tmpl w:val="0B24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F40E31"/>
    <w:multiLevelType w:val="hybridMultilevel"/>
    <w:tmpl w:val="4222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3B0A"/>
    <w:multiLevelType w:val="hybridMultilevel"/>
    <w:tmpl w:val="9EDE1FF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1"/>
  </w:num>
  <w:num w:numId="5">
    <w:abstractNumId w:val="19"/>
  </w:num>
  <w:num w:numId="6">
    <w:abstractNumId w:val="2"/>
  </w:num>
  <w:num w:numId="7">
    <w:abstractNumId w:val="10"/>
  </w:num>
  <w:num w:numId="8">
    <w:abstractNumId w:val="26"/>
  </w:num>
  <w:num w:numId="9">
    <w:abstractNumId w:val="18"/>
  </w:num>
  <w:num w:numId="10">
    <w:abstractNumId w:val="25"/>
  </w:num>
  <w:num w:numId="11">
    <w:abstractNumId w:val="27"/>
  </w:num>
  <w:num w:numId="12">
    <w:abstractNumId w:val="7"/>
  </w:num>
  <w:num w:numId="13">
    <w:abstractNumId w:val="22"/>
  </w:num>
  <w:num w:numId="14">
    <w:abstractNumId w:val="4"/>
  </w:num>
  <w:num w:numId="15">
    <w:abstractNumId w:val="9"/>
  </w:num>
  <w:num w:numId="16">
    <w:abstractNumId w:val="13"/>
  </w:num>
  <w:num w:numId="17">
    <w:abstractNumId w:val="20"/>
  </w:num>
  <w:num w:numId="18">
    <w:abstractNumId w:val="3"/>
  </w:num>
  <w:num w:numId="19">
    <w:abstractNumId w:val="5"/>
  </w:num>
  <w:num w:numId="20">
    <w:abstractNumId w:val="32"/>
  </w:num>
  <w:num w:numId="21">
    <w:abstractNumId w:val="1"/>
  </w:num>
  <w:num w:numId="22">
    <w:abstractNumId w:val="34"/>
  </w:num>
  <w:num w:numId="23">
    <w:abstractNumId w:val="6"/>
  </w:num>
  <w:num w:numId="24">
    <w:abstractNumId w:val="11"/>
  </w:num>
  <w:num w:numId="25">
    <w:abstractNumId w:val="12"/>
  </w:num>
  <w:num w:numId="26">
    <w:abstractNumId w:val="29"/>
  </w:num>
  <w:num w:numId="27">
    <w:abstractNumId w:val="28"/>
  </w:num>
  <w:num w:numId="28">
    <w:abstractNumId w:val="15"/>
  </w:num>
  <w:num w:numId="29">
    <w:abstractNumId w:val="24"/>
  </w:num>
  <w:num w:numId="30">
    <w:abstractNumId w:val="14"/>
  </w:num>
  <w:num w:numId="31">
    <w:abstractNumId w:val="33"/>
  </w:num>
  <w:num w:numId="32">
    <w:abstractNumId w:val="31"/>
  </w:num>
  <w:num w:numId="33">
    <w:abstractNumId w:val="16"/>
  </w:num>
  <w:num w:numId="34">
    <w:abstractNumId w:val="17"/>
  </w:num>
  <w:num w:numId="35">
    <w:abstractNumId w:val="3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037CE"/>
    <w:rsid w:val="00011E5F"/>
    <w:rsid w:val="0001318A"/>
    <w:rsid w:val="00014591"/>
    <w:rsid w:val="000203B9"/>
    <w:rsid w:val="0002099A"/>
    <w:rsid w:val="000274FC"/>
    <w:rsid w:val="000347D8"/>
    <w:rsid w:val="00035298"/>
    <w:rsid w:val="0004228E"/>
    <w:rsid w:val="0004274F"/>
    <w:rsid w:val="000432BD"/>
    <w:rsid w:val="00045366"/>
    <w:rsid w:val="00047C6E"/>
    <w:rsid w:val="0005395C"/>
    <w:rsid w:val="000562FC"/>
    <w:rsid w:val="00056DB2"/>
    <w:rsid w:val="0006393C"/>
    <w:rsid w:val="00065DE9"/>
    <w:rsid w:val="00070142"/>
    <w:rsid w:val="00084DDC"/>
    <w:rsid w:val="00086154"/>
    <w:rsid w:val="000911B0"/>
    <w:rsid w:val="00093DBF"/>
    <w:rsid w:val="000A08BC"/>
    <w:rsid w:val="000B2049"/>
    <w:rsid w:val="000D1CE6"/>
    <w:rsid w:val="000E2317"/>
    <w:rsid w:val="000E454E"/>
    <w:rsid w:val="000F12EB"/>
    <w:rsid w:val="000F4984"/>
    <w:rsid w:val="000F78E9"/>
    <w:rsid w:val="00103793"/>
    <w:rsid w:val="00104CD6"/>
    <w:rsid w:val="00115168"/>
    <w:rsid w:val="00123359"/>
    <w:rsid w:val="00147012"/>
    <w:rsid w:val="00153C80"/>
    <w:rsid w:val="001543CD"/>
    <w:rsid w:val="0015535F"/>
    <w:rsid w:val="00155CF0"/>
    <w:rsid w:val="001639DF"/>
    <w:rsid w:val="00184B1B"/>
    <w:rsid w:val="001A42DE"/>
    <w:rsid w:val="001A57AD"/>
    <w:rsid w:val="001A6515"/>
    <w:rsid w:val="001B2A15"/>
    <w:rsid w:val="001B5037"/>
    <w:rsid w:val="001C7ABF"/>
    <w:rsid w:val="001D65F8"/>
    <w:rsid w:val="001E5434"/>
    <w:rsid w:val="001E56EE"/>
    <w:rsid w:val="001F7E03"/>
    <w:rsid w:val="00207DF8"/>
    <w:rsid w:val="002122DB"/>
    <w:rsid w:val="00217C99"/>
    <w:rsid w:val="0022539D"/>
    <w:rsid w:val="002339A3"/>
    <w:rsid w:val="002455F9"/>
    <w:rsid w:val="00247685"/>
    <w:rsid w:val="002613D7"/>
    <w:rsid w:val="00261477"/>
    <w:rsid w:val="0026664A"/>
    <w:rsid w:val="0027212E"/>
    <w:rsid w:val="0027273A"/>
    <w:rsid w:val="00275430"/>
    <w:rsid w:val="00276A88"/>
    <w:rsid w:val="0028076B"/>
    <w:rsid w:val="00282691"/>
    <w:rsid w:val="00295D3C"/>
    <w:rsid w:val="00296C1B"/>
    <w:rsid w:val="002C5BF2"/>
    <w:rsid w:val="002C793C"/>
    <w:rsid w:val="002E609E"/>
    <w:rsid w:val="002E7C33"/>
    <w:rsid w:val="00304F75"/>
    <w:rsid w:val="00312DCB"/>
    <w:rsid w:val="00312F37"/>
    <w:rsid w:val="0032082A"/>
    <w:rsid w:val="0032330B"/>
    <w:rsid w:val="00323DF2"/>
    <w:rsid w:val="003256D8"/>
    <w:rsid w:val="00331775"/>
    <w:rsid w:val="00332369"/>
    <w:rsid w:val="0034137E"/>
    <w:rsid w:val="00343197"/>
    <w:rsid w:val="00346358"/>
    <w:rsid w:val="00347BBC"/>
    <w:rsid w:val="003511AE"/>
    <w:rsid w:val="00351A6B"/>
    <w:rsid w:val="00352866"/>
    <w:rsid w:val="00353B29"/>
    <w:rsid w:val="00372D09"/>
    <w:rsid w:val="003751C6"/>
    <w:rsid w:val="0037612C"/>
    <w:rsid w:val="003769E8"/>
    <w:rsid w:val="0037742F"/>
    <w:rsid w:val="0038218C"/>
    <w:rsid w:val="0038461F"/>
    <w:rsid w:val="00393A3F"/>
    <w:rsid w:val="003A5A97"/>
    <w:rsid w:val="003B196C"/>
    <w:rsid w:val="003C32CD"/>
    <w:rsid w:val="003C34B9"/>
    <w:rsid w:val="003C61A2"/>
    <w:rsid w:val="003C7E62"/>
    <w:rsid w:val="003D0FF9"/>
    <w:rsid w:val="003D4996"/>
    <w:rsid w:val="003D4ABA"/>
    <w:rsid w:val="003D5AC3"/>
    <w:rsid w:val="003D7426"/>
    <w:rsid w:val="003E5FDD"/>
    <w:rsid w:val="003F4E4B"/>
    <w:rsid w:val="00400BEF"/>
    <w:rsid w:val="00401E7A"/>
    <w:rsid w:val="004103FB"/>
    <w:rsid w:val="00411FB1"/>
    <w:rsid w:val="004135E4"/>
    <w:rsid w:val="00413749"/>
    <w:rsid w:val="00421F0C"/>
    <w:rsid w:val="004224F5"/>
    <w:rsid w:val="004225C2"/>
    <w:rsid w:val="00426EA8"/>
    <w:rsid w:val="00427AC3"/>
    <w:rsid w:val="00427B9D"/>
    <w:rsid w:val="004472DD"/>
    <w:rsid w:val="00453B32"/>
    <w:rsid w:val="00463481"/>
    <w:rsid w:val="00465111"/>
    <w:rsid w:val="00465932"/>
    <w:rsid w:val="0047613C"/>
    <w:rsid w:val="004804CE"/>
    <w:rsid w:val="00483354"/>
    <w:rsid w:val="004A20E0"/>
    <w:rsid w:val="004A228C"/>
    <w:rsid w:val="004A4733"/>
    <w:rsid w:val="004B5BF3"/>
    <w:rsid w:val="004C0337"/>
    <w:rsid w:val="004C76D2"/>
    <w:rsid w:val="004D0896"/>
    <w:rsid w:val="004D339D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323E"/>
    <w:rsid w:val="005568E9"/>
    <w:rsid w:val="00557429"/>
    <w:rsid w:val="00562022"/>
    <w:rsid w:val="00566334"/>
    <w:rsid w:val="00572493"/>
    <w:rsid w:val="00573F43"/>
    <w:rsid w:val="0058344D"/>
    <w:rsid w:val="005971B7"/>
    <w:rsid w:val="005A141C"/>
    <w:rsid w:val="005A631D"/>
    <w:rsid w:val="005C0B2F"/>
    <w:rsid w:val="005C14B7"/>
    <w:rsid w:val="005C2071"/>
    <w:rsid w:val="005C2A92"/>
    <w:rsid w:val="005C2B29"/>
    <w:rsid w:val="005C5DE4"/>
    <w:rsid w:val="005E2D19"/>
    <w:rsid w:val="005E4F62"/>
    <w:rsid w:val="005E516C"/>
    <w:rsid w:val="005F77CD"/>
    <w:rsid w:val="00606D4C"/>
    <w:rsid w:val="00613F48"/>
    <w:rsid w:val="00615B58"/>
    <w:rsid w:val="006516D2"/>
    <w:rsid w:val="00654B9E"/>
    <w:rsid w:val="006556A4"/>
    <w:rsid w:val="00671F9D"/>
    <w:rsid w:val="0067273B"/>
    <w:rsid w:val="006804EA"/>
    <w:rsid w:val="006B2A90"/>
    <w:rsid w:val="006B5AF4"/>
    <w:rsid w:val="006C385A"/>
    <w:rsid w:val="006D0EE3"/>
    <w:rsid w:val="006D4270"/>
    <w:rsid w:val="006D43E2"/>
    <w:rsid w:val="006E1844"/>
    <w:rsid w:val="006E3349"/>
    <w:rsid w:val="006E50C5"/>
    <w:rsid w:val="006F7EF5"/>
    <w:rsid w:val="0072233E"/>
    <w:rsid w:val="00723E2D"/>
    <w:rsid w:val="00734D4E"/>
    <w:rsid w:val="0073531E"/>
    <w:rsid w:val="00737C72"/>
    <w:rsid w:val="00741F2D"/>
    <w:rsid w:val="007437C1"/>
    <w:rsid w:val="007542C9"/>
    <w:rsid w:val="007545FF"/>
    <w:rsid w:val="00755846"/>
    <w:rsid w:val="007616E7"/>
    <w:rsid w:val="007661A9"/>
    <w:rsid w:val="0078712C"/>
    <w:rsid w:val="00793A88"/>
    <w:rsid w:val="007B0A75"/>
    <w:rsid w:val="007B2BCC"/>
    <w:rsid w:val="007B4A8D"/>
    <w:rsid w:val="007C6569"/>
    <w:rsid w:val="007E0D12"/>
    <w:rsid w:val="007E2CC2"/>
    <w:rsid w:val="007E3854"/>
    <w:rsid w:val="007F16DD"/>
    <w:rsid w:val="007F21A9"/>
    <w:rsid w:val="007F47F9"/>
    <w:rsid w:val="007F5032"/>
    <w:rsid w:val="007F6F66"/>
    <w:rsid w:val="008004E1"/>
    <w:rsid w:val="00802C71"/>
    <w:rsid w:val="008078AD"/>
    <w:rsid w:val="008119DB"/>
    <w:rsid w:val="008204DA"/>
    <w:rsid w:val="00821107"/>
    <w:rsid w:val="008241C1"/>
    <w:rsid w:val="0083499E"/>
    <w:rsid w:val="00835009"/>
    <w:rsid w:val="008427C0"/>
    <w:rsid w:val="0084341B"/>
    <w:rsid w:val="00845F96"/>
    <w:rsid w:val="00847039"/>
    <w:rsid w:val="00853375"/>
    <w:rsid w:val="00856168"/>
    <w:rsid w:val="0086424B"/>
    <w:rsid w:val="00864695"/>
    <w:rsid w:val="00864734"/>
    <w:rsid w:val="00865B7A"/>
    <w:rsid w:val="00865BD3"/>
    <w:rsid w:val="0087288C"/>
    <w:rsid w:val="00886B62"/>
    <w:rsid w:val="0088733A"/>
    <w:rsid w:val="008A7E0A"/>
    <w:rsid w:val="008B34B4"/>
    <w:rsid w:val="008C076A"/>
    <w:rsid w:val="008C66DD"/>
    <w:rsid w:val="008D1162"/>
    <w:rsid w:val="008E046A"/>
    <w:rsid w:val="008F7953"/>
    <w:rsid w:val="00907BA8"/>
    <w:rsid w:val="00916817"/>
    <w:rsid w:val="00924648"/>
    <w:rsid w:val="009253A5"/>
    <w:rsid w:val="00925C2B"/>
    <w:rsid w:val="00943502"/>
    <w:rsid w:val="00973D76"/>
    <w:rsid w:val="00984B04"/>
    <w:rsid w:val="0098741F"/>
    <w:rsid w:val="0099074A"/>
    <w:rsid w:val="009908DA"/>
    <w:rsid w:val="00990BB0"/>
    <w:rsid w:val="00995212"/>
    <w:rsid w:val="009A7B9A"/>
    <w:rsid w:val="009C072C"/>
    <w:rsid w:val="009C37E6"/>
    <w:rsid w:val="009C5C31"/>
    <w:rsid w:val="009D0E77"/>
    <w:rsid w:val="009D1B16"/>
    <w:rsid w:val="009D7CED"/>
    <w:rsid w:val="009E3963"/>
    <w:rsid w:val="009E4A11"/>
    <w:rsid w:val="009E6A9B"/>
    <w:rsid w:val="009F209A"/>
    <w:rsid w:val="00A020E9"/>
    <w:rsid w:val="00A07BAA"/>
    <w:rsid w:val="00A14571"/>
    <w:rsid w:val="00A15417"/>
    <w:rsid w:val="00A2205B"/>
    <w:rsid w:val="00A2580C"/>
    <w:rsid w:val="00A27F9F"/>
    <w:rsid w:val="00A37044"/>
    <w:rsid w:val="00A450FD"/>
    <w:rsid w:val="00A47475"/>
    <w:rsid w:val="00A5119F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2BE0"/>
    <w:rsid w:val="00A84894"/>
    <w:rsid w:val="00A91372"/>
    <w:rsid w:val="00A94509"/>
    <w:rsid w:val="00AA1364"/>
    <w:rsid w:val="00AA22B1"/>
    <w:rsid w:val="00AA5ED9"/>
    <w:rsid w:val="00AB2285"/>
    <w:rsid w:val="00AB3771"/>
    <w:rsid w:val="00AB66CC"/>
    <w:rsid w:val="00AB6C7F"/>
    <w:rsid w:val="00AC05A5"/>
    <w:rsid w:val="00AC1408"/>
    <w:rsid w:val="00AC20C5"/>
    <w:rsid w:val="00AC32C2"/>
    <w:rsid w:val="00AC6743"/>
    <w:rsid w:val="00AC70DB"/>
    <w:rsid w:val="00AC7C4A"/>
    <w:rsid w:val="00AD2094"/>
    <w:rsid w:val="00AD2101"/>
    <w:rsid w:val="00AD2610"/>
    <w:rsid w:val="00AD3F9F"/>
    <w:rsid w:val="00AD4333"/>
    <w:rsid w:val="00AD6F00"/>
    <w:rsid w:val="00AD7F0E"/>
    <w:rsid w:val="00AE25F1"/>
    <w:rsid w:val="00AF4B2F"/>
    <w:rsid w:val="00B0124A"/>
    <w:rsid w:val="00B1355A"/>
    <w:rsid w:val="00B22CC9"/>
    <w:rsid w:val="00B25039"/>
    <w:rsid w:val="00B26F30"/>
    <w:rsid w:val="00B31083"/>
    <w:rsid w:val="00B33220"/>
    <w:rsid w:val="00B40D84"/>
    <w:rsid w:val="00B4781C"/>
    <w:rsid w:val="00B47C32"/>
    <w:rsid w:val="00B72623"/>
    <w:rsid w:val="00B7710C"/>
    <w:rsid w:val="00B77F85"/>
    <w:rsid w:val="00B90283"/>
    <w:rsid w:val="00B915E0"/>
    <w:rsid w:val="00B91B77"/>
    <w:rsid w:val="00BA0CF6"/>
    <w:rsid w:val="00BA4BF5"/>
    <w:rsid w:val="00BB29BF"/>
    <w:rsid w:val="00BB6084"/>
    <w:rsid w:val="00BB72A9"/>
    <w:rsid w:val="00BC1007"/>
    <w:rsid w:val="00BD585E"/>
    <w:rsid w:val="00BD67AB"/>
    <w:rsid w:val="00BE0897"/>
    <w:rsid w:val="00C032FF"/>
    <w:rsid w:val="00C066D4"/>
    <w:rsid w:val="00C07633"/>
    <w:rsid w:val="00C274A7"/>
    <w:rsid w:val="00C30DEE"/>
    <w:rsid w:val="00C3342E"/>
    <w:rsid w:val="00C33813"/>
    <w:rsid w:val="00C41E7C"/>
    <w:rsid w:val="00C47ED1"/>
    <w:rsid w:val="00C50830"/>
    <w:rsid w:val="00C611B5"/>
    <w:rsid w:val="00C62287"/>
    <w:rsid w:val="00C62BEC"/>
    <w:rsid w:val="00C64C4F"/>
    <w:rsid w:val="00C67EAF"/>
    <w:rsid w:val="00C72388"/>
    <w:rsid w:val="00C76EEE"/>
    <w:rsid w:val="00C845D5"/>
    <w:rsid w:val="00C87123"/>
    <w:rsid w:val="00C91532"/>
    <w:rsid w:val="00C979E6"/>
    <w:rsid w:val="00CA248F"/>
    <w:rsid w:val="00CA7FC8"/>
    <w:rsid w:val="00CB02D6"/>
    <w:rsid w:val="00CB1BBB"/>
    <w:rsid w:val="00CC046F"/>
    <w:rsid w:val="00CD7B17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32A1C"/>
    <w:rsid w:val="00D43495"/>
    <w:rsid w:val="00D43546"/>
    <w:rsid w:val="00D534D9"/>
    <w:rsid w:val="00D563A0"/>
    <w:rsid w:val="00D66638"/>
    <w:rsid w:val="00D739FF"/>
    <w:rsid w:val="00D769B1"/>
    <w:rsid w:val="00D80702"/>
    <w:rsid w:val="00D848DA"/>
    <w:rsid w:val="00D9196B"/>
    <w:rsid w:val="00D926E6"/>
    <w:rsid w:val="00DA6540"/>
    <w:rsid w:val="00DB48D2"/>
    <w:rsid w:val="00DC1100"/>
    <w:rsid w:val="00DC509A"/>
    <w:rsid w:val="00DD0704"/>
    <w:rsid w:val="00DD0E95"/>
    <w:rsid w:val="00DD5883"/>
    <w:rsid w:val="00DD5F35"/>
    <w:rsid w:val="00DF10C9"/>
    <w:rsid w:val="00DF16EF"/>
    <w:rsid w:val="00DF5D7B"/>
    <w:rsid w:val="00E11D64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77277"/>
    <w:rsid w:val="00E87A70"/>
    <w:rsid w:val="00E87E12"/>
    <w:rsid w:val="00EC2086"/>
    <w:rsid w:val="00EC344B"/>
    <w:rsid w:val="00EC7749"/>
    <w:rsid w:val="00EE2057"/>
    <w:rsid w:val="00EE6F5E"/>
    <w:rsid w:val="00EF09A9"/>
    <w:rsid w:val="00EF7BE9"/>
    <w:rsid w:val="00F16C85"/>
    <w:rsid w:val="00F2150E"/>
    <w:rsid w:val="00F218BE"/>
    <w:rsid w:val="00F26356"/>
    <w:rsid w:val="00F31BD3"/>
    <w:rsid w:val="00F36B9C"/>
    <w:rsid w:val="00F42471"/>
    <w:rsid w:val="00F44810"/>
    <w:rsid w:val="00F4636F"/>
    <w:rsid w:val="00F51CDA"/>
    <w:rsid w:val="00F55068"/>
    <w:rsid w:val="00F61284"/>
    <w:rsid w:val="00F67310"/>
    <w:rsid w:val="00F67B15"/>
    <w:rsid w:val="00F71067"/>
    <w:rsid w:val="00F8218B"/>
    <w:rsid w:val="00F83021"/>
    <w:rsid w:val="00F83347"/>
    <w:rsid w:val="00F87D66"/>
    <w:rsid w:val="00F960CC"/>
    <w:rsid w:val="00FA6898"/>
    <w:rsid w:val="00FA7F58"/>
    <w:rsid w:val="00FC2502"/>
    <w:rsid w:val="00FC449C"/>
    <w:rsid w:val="00FC5B3E"/>
    <w:rsid w:val="00FC6AE1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0141F6"/>
  <w15:docId w15:val="{F3EF7C2A-D990-48D4-9D98-12B39680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20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F46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uiPriority w:val="99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F463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020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locked/>
    <w:rsid w:val="00020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099A"/>
    <w:rPr>
      <w:rFonts w:ascii="Courier New" w:hAnsi="Courier New" w:cs="Courier New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7D6BCA-4F5E-4626-AA60-20AB7256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3028</Words>
  <Characters>18173</Characters>
  <Application>Microsoft Office Word</Application>
  <DocSecurity>0</DocSecurity>
  <Lines>151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21159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User</cp:lastModifiedBy>
  <cp:revision>6</cp:revision>
  <cp:lastPrinted>2025-09-17T12:58:00Z</cp:lastPrinted>
  <dcterms:created xsi:type="dcterms:W3CDTF">2025-10-05T10:09:00Z</dcterms:created>
  <dcterms:modified xsi:type="dcterms:W3CDTF">2025-12-09T17:35:00Z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